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EDB" w:rsidRDefault="00A83EDB" w:rsidP="00A83EDB">
      <w:pPr>
        <w:jc w:val="center"/>
        <w:outlineLvl w:val="0"/>
        <w:rPr>
          <w:b/>
        </w:rPr>
      </w:pPr>
      <w:r>
        <w:rPr>
          <w:b/>
        </w:rPr>
        <w:t xml:space="preserve">Form of First Demand Guarantee </w:t>
      </w:r>
      <w:r>
        <w:rPr>
          <w:b/>
          <w:bCs/>
          <w:color w:val="000000"/>
          <w:w w:val="0"/>
          <w:lang w:val="it-IT"/>
        </w:rPr>
        <w:fldChar w:fldCharType="begin"/>
      </w:r>
      <w:r>
        <w:rPr>
          <w:b/>
          <w:bCs/>
          <w:color w:val="000000"/>
          <w:w w:val="0"/>
        </w:rPr>
        <w:instrText>tc "</w:instrText>
      </w:r>
      <w:bookmarkStart w:id="0" w:name="_Toc98235123"/>
      <w:bookmarkStart w:id="1" w:name="_Toc480896850"/>
      <w:r>
        <w:rPr>
          <w:b/>
          <w:bCs/>
          <w:color w:val="000000"/>
          <w:w w:val="0"/>
        </w:rPr>
        <w:instrText>Part II</w:instrText>
      </w:r>
      <w:r>
        <w:rPr>
          <w:b/>
          <w:bCs/>
          <w:color w:val="000000"/>
          <w:w w:val="0"/>
        </w:rPr>
        <w:tab/>
      </w:r>
      <w:bookmarkEnd w:id="0"/>
      <w:r>
        <w:rPr>
          <w:b/>
        </w:rPr>
        <w:instrText>Form of First Demand Guarantee</w:instrText>
      </w:r>
      <w:bookmarkEnd w:id="1"/>
      <w:r w:rsidRPr="009337DA">
        <w:rPr>
          <w:color w:val="000000"/>
          <w:w w:val="0"/>
        </w:rPr>
        <w:instrText>" \f C \l 5</w:instrText>
      </w:r>
      <w:r>
        <w:rPr>
          <w:b/>
          <w:bCs/>
          <w:color w:val="000000"/>
          <w:w w:val="0"/>
          <w:lang w:val="it-IT"/>
        </w:rPr>
        <w:fldChar w:fldCharType="end"/>
      </w:r>
    </w:p>
    <w:p w:rsidR="00A83EDB" w:rsidRDefault="00A83EDB" w:rsidP="00A83EDB">
      <w:pPr>
        <w:rPr>
          <w:sz w:val="22"/>
        </w:rPr>
      </w:pPr>
    </w:p>
    <w:p w:rsidR="00A83EDB" w:rsidRDefault="00A83EDB" w:rsidP="00A83EDB">
      <w:pPr>
        <w:jc w:val="center"/>
        <w:rPr>
          <w:sz w:val="22"/>
        </w:rPr>
      </w:pPr>
      <w:r>
        <w:rPr>
          <w:sz w:val="22"/>
        </w:rPr>
        <w:t>[LETTERHEAD OF THE APPROVED ISSUING INSTITUTION]</w:t>
      </w:r>
    </w:p>
    <w:p w:rsidR="00A83EDB" w:rsidRDefault="00A83EDB" w:rsidP="00A83EDB">
      <w:pPr>
        <w:rPr>
          <w:sz w:val="22"/>
        </w:rPr>
      </w:pPr>
    </w:p>
    <w:p w:rsidR="00A83EDB" w:rsidRDefault="00A83EDB" w:rsidP="00A83EDB">
      <w:pPr>
        <w:rPr>
          <w:sz w:val="22"/>
        </w:rPr>
      </w:pPr>
    </w:p>
    <w:p w:rsidR="00A83EDB" w:rsidRPr="005155B3" w:rsidRDefault="00A83EDB" w:rsidP="00A83EDB">
      <w:pPr>
        <w:jc w:val="right"/>
        <w:rPr>
          <w:sz w:val="22"/>
        </w:rPr>
      </w:pPr>
      <w:r w:rsidRPr="005155B3">
        <w:rPr>
          <w:sz w:val="22"/>
        </w:rPr>
        <w:t>[Place], [</w:t>
      </w:r>
      <w:r w:rsidRPr="005155B3">
        <w:rPr>
          <w:i/>
          <w:sz w:val="22"/>
        </w:rPr>
        <w:t>date</w:t>
      </w:r>
      <w:r w:rsidRPr="005155B3">
        <w:rPr>
          <w:sz w:val="22"/>
        </w:rPr>
        <w:t>]</w:t>
      </w:r>
    </w:p>
    <w:p w:rsidR="00A83EDB" w:rsidRPr="005155B3" w:rsidRDefault="00A83EDB" w:rsidP="00A83EDB">
      <w:r w:rsidRPr="005155B3">
        <w:t>To:</w:t>
      </w:r>
    </w:p>
    <w:p w:rsidR="00A83EDB" w:rsidRPr="005155B3" w:rsidRDefault="00A83EDB" w:rsidP="00A83EDB">
      <w:proofErr w:type="spellStart"/>
      <w:r w:rsidRPr="005155B3">
        <w:t>Terminale</w:t>
      </w:r>
      <w:proofErr w:type="spellEnd"/>
      <w:r w:rsidRPr="005155B3">
        <w:t xml:space="preserve"> GNL </w:t>
      </w:r>
      <w:proofErr w:type="spellStart"/>
      <w:r w:rsidRPr="005155B3">
        <w:t>Adriatico</w:t>
      </w:r>
      <w:proofErr w:type="spellEnd"/>
      <w:r w:rsidRPr="005155B3">
        <w:t xml:space="preserve"> S.r.l. (“Operating Company”)</w:t>
      </w:r>
    </w:p>
    <w:p w:rsidR="00A83EDB" w:rsidRPr="007D3937" w:rsidRDefault="00A83EDB" w:rsidP="00A83EDB">
      <w:pPr>
        <w:pStyle w:val="AONormal"/>
        <w:rPr>
          <w:rFonts w:eastAsia="Times New Roman"/>
          <w:sz w:val="24"/>
          <w:szCs w:val="20"/>
          <w:lang w:val="en-GB" w:eastAsia="it-IT"/>
        </w:rPr>
      </w:pPr>
      <w:r w:rsidRPr="007D3937">
        <w:rPr>
          <w:rFonts w:eastAsia="Times New Roman"/>
          <w:sz w:val="24"/>
          <w:szCs w:val="20"/>
          <w:lang w:val="en-GB" w:eastAsia="it-IT"/>
        </w:rPr>
        <w:t xml:space="preserve">Via </w:t>
      </w:r>
      <w:bookmarkStart w:id="2" w:name="_GoBack"/>
      <w:bookmarkEnd w:id="2"/>
      <w:r w:rsidRPr="007D3937">
        <w:rPr>
          <w:rFonts w:eastAsia="Times New Roman"/>
          <w:sz w:val="24"/>
          <w:szCs w:val="20"/>
          <w:lang w:val="en-GB" w:eastAsia="it-IT"/>
        </w:rPr>
        <w:t xml:space="preserve">Santa </w:t>
      </w:r>
      <w:proofErr w:type="spellStart"/>
      <w:r w:rsidRPr="007D3937">
        <w:rPr>
          <w:rFonts w:eastAsia="Times New Roman"/>
          <w:sz w:val="24"/>
          <w:szCs w:val="20"/>
          <w:lang w:val="en-GB" w:eastAsia="it-IT"/>
        </w:rPr>
        <w:t>Radegonda</w:t>
      </w:r>
      <w:proofErr w:type="spellEnd"/>
      <w:proofErr w:type="gramStart"/>
      <w:r w:rsidRPr="007D3937">
        <w:rPr>
          <w:rFonts w:eastAsia="Times New Roman"/>
          <w:sz w:val="24"/>
          <w:szCs w:val="20"/>
          <w:lang w:val="en-GB" w:eastAsia="it-IT"/>
        </w:rPr>
        <w:t>,  8</w:t>
      </w:r>
      <w:proofErr w:type="gramEnd"/>
    </w:p>
    <w:p w:rsidR="00A83EDB" w:rsidRPr="000A484E" w:rsidRDefault="00A83EDB" w:rsidP="00A83EDB">
      <w:pPr>
        <w:rPr>
          <w:szCs w:val="24"/>
        </w:rPr>
      </w:pPr>
      <w:proofErr w:type="gramStart"/>
      <w:r w:rsidRPr="000A484E">
        <w:rPr>
          <w:szCs w:val="24"/>
        </w:rPr>
        <w:t>201</w:t>
      </w:r>
      <w:r>
        <w:rPr>
          <w:szCs w:val="24"/>
        </w:rPr>
        <w:t>21</w:t>
      </w:r>
      <w:proofErr w:type="gramEnd"/>
      <w:r w:rsidRPr="000A484E">
        <w:rPr>
          <w:szCs w:val="24"/>
        </w:rPr>
        <w:t xml:space="preserve"> Milan</w:t>
      </w:r>
    </w:p>
    <w:p w:rsidR="00A83EDB" w:rsidRDefault="00A83EDB" w:rsidP="00A83EDB">
      <w:r>
        <w:t>Italy</w:t>
      </w:r>
    </w:p>
    <w:p w:rsidR="00A83EDB" w:rsidRDefault="00A83EDB" w:rsidP="00A83EDB"/>
    <w:p w:rsidR="00A83EDB" w:rsidRDefault="00A83EDB" w:rsidP="00A83EDB">
      <w:r>
        <w:t xml:space="preserve">For the attention of Capacity Subscription </w:t>
      </w:r>
      <w:r w:rsidRPr="00A46BC8">
        <w:t>Coordinator</w:t>
      </w:r>
    </w:p>
    <w:p w:rsidR="00A83EDB" w:rsidRDefault="00A83EDB" w:rsidP="00A83EDB">
      <w:pPr>
        <w:rPr>
          <w:sz w:val="22"/>
        </w:rPr>
      </w:pPr>
    </w:p>
    <w:p w:rsidR="00A83EDB" w:rsidRDefault="00A83EDB" w:rsidP="00A83EDB">
      <w:pPr>
        <w:rPr>
          <w:sz w:val="22"/>
        </w:rPr>
      </w:pPr>
      <w:r>
        <w:rPr>
          <w:sz w:val="22"/>
        </w:rPr>
        <w:t>Sirs,</w:t>
      </w:r>
    </w:p>
    <w:p w:rsidR="00A83EDB" w:rsidRDefault="00A83EDB" w:rsidP="00A83EDB">
      <w:pPr>
        <w:rPr>
          <w:sz w:val="22"/>
        </w:rPr>
      </w:pPr>
    </w:p>
    <w:p w:rsidR="00A83EDB" w:rsidRDefault="00A83EDB" w:rsidP="00A83EDB">
      <w:pPr>
        <w:rPr>
          <w:sz w:val="22"/>
        </w:rPr>
      </w:pPr>
    </w:p>
    <w:p w:rsidR="00A83EDB" w:rsidRDefault="00A83EDB" w:rsidP="00A83EDB">
      <w:pPr>
        <w:pStyle w:val="Nomale11pt"/>
        <w:keepNext w:val="0"/>
        <w:widowControl w:val="0"/>
        <w:rPr>
          <w:rFonts w:eastAsia="Arial Unicode MS"/>
        </w:rPr>
      </w:pPr>
      <w:bookmarkStart w:id="3" w:name="_Toc169350620"/>
      <w:bookmarkStart w:id="4" w:name="_Toc169675670"/>
      <w:bookmarkStart w:id="5" w:name="_Toc169947160"/>
      <w:bookmarkStart w:id="6" w:name="_Toc169952295"/>
      <w:bookmarkStart w:id="7" w:name="_Toc200780569"/>
      <w:bookmarkStart w:id="8" w:name="_Toc202258764"/>
      <w:bookmarkStart w:id="9" w:name="_Toc204591152"/>
      <w:bookmarkStart w:id="10" w:name="_Toc287527979"/>
      <w:bookmarkStart w:id="11" w:name="_Toc290467512"/>
      <w:bookmarkStart w:id="12" w:name="_Toc407022617"/>
      <w:bookmarkStart w:id="13" w:name="_Toc510688983"/>
      <w:r>
        <w:t>FIRST DEMAND GUARANTEE</w:t>
      </w:r>
      <w:bookmarkEnd w:id="3"/>
      <w:bookmarkEnd w:id="4"/>
      <w:bookmarkEnd w:id="5"/>
      <w:bookmarkEnd w:id="6"/>
      <w:bookmarkEnd w:id="7"/>
      <w:bookmarkEnd w:id="8"/>
      <w:bookmarkEnd w:id="9"/>
      <w:bookmarkEnd w:id="10"/>
      <w:bookmarkEnd w:id="11"/>
      <w:bookmarkEnd w:id="12"/>
      <w:bookmarkEnd w:id="13"/>
    </w:p>
    <w:p w:rsidR="00A83EDB" w:rsidRDefault="00A83EDB" w:rsidP="00A83EDB">
      <w:pPr>
        <w:rPr>
          <w:sz w:val="22"/>
        </w:rPr>
      </w:pPr>
    </w:p>
    <w:p w:rsidR="00A83EDB" w:rsidRDefault="00A83EDB" w:rsidP="00A83EDB">
      <w:pPr>
        <w:pStyle w:val="Nomale11pt"/>
        <w:keepNext w:val="0"/>
        <w:widowControl w:val="0"/>
        <w:rPr>
          <w:rFonts w:eastAsia="Arial Unicode MS"/>
        </w:rPr>
      </w:pPr>
      <w:bookmarkStart w:id="14" w:name="_Toc169350621"/>
      <w:bookmarkStart w:id="15" w:name="_Toc169675671"/>
      <w:bookmarkStart w:id="16" w:name="_Toc169947161"/>
      <w:bookmarkStart w:id="17" w:name="_Toc169952296"/>
      <w:bookmarkStart w:id="18" w:name="_Toc200780570"/>
      <w:bookmarkStart w:id="19" w:name="_Toc202258765"/>
      <w:bookmarkStart w:id="20" w:name="_Toc204591153"/>
      <w:bookmarkStart w:id="21" w:name="_Toc287527980"/>
      <w:bookmarkStart w:id="22" w:name="_Toc290467513"/>
      <w:bookmarkStart w:id="23" w:name="_Toc407022618"/>
      <w:bookmarkStart w:id="24" w:name="_Toc510688984"/>
      <w:r>
        <w:t>Whereas:</w:t>
      </w:r>
      <w:bookmarkEnd w:id="14"/>
      <w:bookmarkEnd w:id="15"/>
      <w:bookmarkEnd w:id="16"/>
      <w:bookmarkEnd w:id="17"/>
      <w:bookmarkEnd w:id="18"/>
      <w:bookmarkEnd w:id="19"/>
      <w:bookmarkEnd w:id="20"/>
      <w:bookmarkEnd w:id="21"/>
      <w:bookmarkEnd w:id="22"/>
      <w:bookmarkEnd w:id="23"/>
      <w:bookmarkEnd w:id="24"/>
    </w:p>
    <w:p w:rsidR="00A83EDB" w:rsidRDefault="00A83EDB" w:rsidP="00A83EDB">
      <w:pPr>
        <w:rPr>
          <w:sz w:val="22"/>
        </w:rPr>
      </w:pPr>
    </w:p>
    <w:p w:rsidR="00A83EDB" w:rsidRDefault="00A83EDB" w:rsidP="00A83EDB">
      <w:pPr>
        <w:numPr>
          <w:ilvl w:val="0"/>
          <w:numId w:val="4"/>
        </w:numPr>
        <w:jc w:val="both"/>
        <w:rPr>
          <w:sz w:val="22"/>
        </w:rPr>
      </w:pPr>
      <w:r>
        <w:rPr>
          <w:sz w:val="22"/>
        </w:rPr>
        <w:t xml:space="preserve">The </w:t>
      </w:r>
      <w:r w:rsidRPr="00ED00B2">
        <w:rPr>
          <w:sz w:val="22"/>
          <w:szCs w:val="22"/>
        </w:rPr>
        <w:t>Regasification</w:t>
      </w:r>
      <w:r>
        <w:rPr>
          <w:sz w:val="22"/>
        </w:rPr>
        <w:t xml:space="preserve"> Code provides the conditions for access to the offshore regasification terminal owned by the Operating Company located approximately 17 km offshore Porto Levante, Italy, pursuant to article 24, sub-section V of the legislative decree no. 164/2000 (the “</w:t>
      </w:r>
      <w:r w:rsidRPr="00566156">
        <w:rPr>
          <w:b/>
          <w:sz w:val="22"/>
        </w:rPr>
        <w:t>Regasification</w:t>
      </w:r>
      <w:r>
        <w:rPr>
          <w:b/>
          <w:sz w:val="22"/>
        </w:rPr>
        <w:t xml:space="preserve"> Code</w:t>
      </w:r>
      <w:r>
        <w:rPr>
          <w:sz w:val="22"/>
        </w:rPr>
        <w:t>”);</w:t>
      </w:r>
    </w:p>
    <w:p w:rsidR="00A83EDB" w:rsidRDefault="00A83EDB" w:rsidP="00A83EDB">
      <w:pPr>
        <w:ind w:left="567"/>
        <w:jc w:val="both"/>
        <w:rPr>
          <w:sz w:val="22"/>
        </w:rPr>
      </w:pPr>
    </w:p>
    <w:p w:rsidR="00A83EDB" w:rsidRPr="00740828" w:rsidRDefault="00A83EDB" w:rsidP="00A83EDB">
      <w:pPr>
        <w:numPr>
          <w:ilvl w:val="0"/>
          <w:numId w:val="4"/>
        </w:numPr>
        <w:jc w:val="both"/>
        <w:rPr>
          <w:sz w:val="22"/>
          <w:lang w:val="en-US"/>
        </w:rPr>
      </w:pPr>
      <w:r w:rsidRPr="00740828">
        <w:rPr>
          <w:sz w:val="22"/>
        </w:rPr>
        <w:t xml:space="preserve">On May 12 2011, the Regulatory Authority for </w:t>
      </w:r>
      <w:r>
        <w:rPr>
          <w:sz w:val="22"/>
        </w:rPr>
        <w:t>Energy Networks and Environment</w:t>
      </w:r>
      <w:r w:rsidRPr="00740828">
        <w:rPr>
          <w:sz w:val="22"/>
        </w:rPr>
        <w:t xml:space="preserve">, according to article 24.5 of Legislative Decree, </w:t>
      </w:r>
      <w:r>
        <w:rPr>
          <w:sz w:val="22"/>
        </w:rPr>
        <w:t>reviewed the compliance with the applicable law of the Regasification Code</w:t>
      </w:r>
      <w:r w:rsidRPr="00740828">
        <w:rPr>
          <w:sz w:val="22"/>
        </w:rPr>
        <w:t xml:space="preserve"> </w:t>
      </w:r>
      <w:r>
        <w:rPr>
          <w:sz w:val="22"/>
        </w:rPr>
        <w:t>implemented by the Operating Company</w:t>
      </w:r>
      <w:r w:rsidRPr="00740828">
        <w:rPr>
          <w:sz w:val="22"/>
        </w:rPr>
        <w:t xml:space="preserve">. </w:t>
      </w:r>
      <w:r>
        <w:rPr>
          <w:sz w:val="22"/>
        </w:rPr>
        <w:t xml:space="preserve"> </w:t>
      </w:r>
      <w:r w:rsidRPr="00740828">
        <w:rPr>
          <w:sz w:val="22"/>
          <w:lang w:val="en-US"/>
        </w:rPr>
        <w:t xml:space="preserve">The Regasification Code has been amended in line with the applicable law and has been approved by the </w:t>
      </w:r>
      <w:r w:rsidRPr="00740828">
        <w:rPr>
          <w:sz w:val="22"/>
        </w:rPr>
        <w:t xml:space="preserve">Regulatory Authority for </w:t>
      </w:r>
      <w:r>
        <w:rPr>
          <w:sz w:val="22"/>
        </w:rPr>
        <w:t>Energy Networks and Environment;</w:t>
      </w:r>
      <w:r w:rsidRPr="00740828">
        <w:rPr>
          <w:sz w:val="22"/>
          <w:lang w:val="en-US"/>
        </w:rPr>
        <w:t xml:space="preserve"> </w:t>
      </w:r>
    </w:p>
    <w:p w:rsidR="00A83EDB" w:rsidRPr="00740828" w:rsidRDefault="00A83EDB" w:rsidP="00A83EDB">
      <w:pPr>
        <w:rPr>
          <w:sz w:val="22"/>
          <w:lang w:val="en-US"/>
        </w:rPr>
      </w:pPr>
    </w:p>
    <w:p w:rsidR="00A83EDB" w:rsidRDefault="00A83EDB" w:rsidP="00A83EDB">
      <w:pPr>
        <w:numPr>
          <w:ilvl w:val="0"/>
          <w:numId w:val="4"/>
        </w:numPr>
        <w:jc w:val="both"/>
        <w:rPr>
          <w:sz w:val="22"/>
        </w:rPr>
      </w:pPr>
      <w:r>
        <w:rPr>
          <w:sz w:val="22"/>
        </w:rPr>
        <w:t>We have been informed that on [</w:t>
      </w:r>
      <w:r>
        <w:rPr>
          <w:i/>
          <w:sz w:val="22"/>
        </w:rPr>
        <w:t>insert date</w:t>
      </w:r>
      <w:r>
        <w:rPr>
          <w:sz w:val="22"/>
        </w:rPr>
        <w:t>], [</w:t>
      </w:r>
      <w:r>
        <w:rPr>
          <w:i/>
          <w:sz w:val="22"/>
        </w:rPr>
        <w:t>insert name of the User</w:t>
      </w:r>
      <w:r>
        <w:rPr>
          <w:sz w:val="22"/>
        </w:rPr>
        <w:t>] with registered office at [</w:t>
      </w:r>
      <w:r>
        <w:rPr>
          <w:i/>
          <w:sz w:val="22"/>
        </w:rPr>
        <w:t>insert address</w:t>
      </w:r>
      <w:r>
        <w:rPr>
          <w:sz w:val="22"/>
        </w:rPr>
        <w:t>], (the “</w:t>
      </w:r>
      <w:r>
        <w:rPr>
          <w:b/>
          <w:sz w:val="22"/>
        </w:rPr>
        <w:t>User</w:t>
      </w:r>
      <w:r>
        <w:rPr>
          <w:sz w:val="22"/>
        </w:rPr>
        <w:t xml:space="preserve">”) has entered into a Capacity Agreement (as defined in the </w:t>
      </w:r>
      <w:r w:rsidRPr="00ED00B2">
        <w:rPr>
          <w:sz w:val="22"/>
          <w:szCs w:val="22"/>
        </w:rPr>
        <w:t>Regasification</w:t>
      </w:r>
      <w:r>
        <w:rPr>
          <w:sz w:val="22"/>
        </w:rPr>
        <w:t xml:space="preserve"> Code) with the Operating Company for the performance by the Operating Company of the Service (as defined in the </w:t>
      </w:r>
      <w:r w:rsidRPr="00ED00B2">
        <w:rPr>
          <w:sz w:val="22"/>
          <w:szCs w:val="22"/>
        </w:rPr>
        <w:t>Regasification</w:t>
      </w:r>
      <w:r>
        <w:rPr>
          <w:sz w:val="22"/>
        </w:rPr>
        <w:t xml:space="preserve"> Code) with respect to the amount of [</w:t>
      </w:r>
      <w:r>
        <w:rPr>
          <w:b/>
          <w:i/>
          <w:sz w:val="22"/>
        </w:rPr>
        <w:t>Foundation Capacity/Non-Foundation Capacity/Spot Capacity</w:t>
      </w:r>
      <w:r>
        <w:rPr>
          <w:sz w:val="22"/>
        </w:rPr>
        <w:t>]</w:t>
      </w:r>
      <w:r>
        <w:rPr>
          <w:rStyle w:val="FootnoteReference"/>
          <w:sz w:val="22"/>
        </w:rPr>
        <w:footnoteReference w:id="1"/>
      </w:r>
      <w:r>
        <w:rPr>
          <w:sz w:val="22"/>
        </w:rPr>
        <w:t xml:space="preserve"> subscribed by the User thereunder, in accordance with the provisions of such Capacity Agreement (the “</w:t>
      </w:r>
      <w:r>
        <w:rPr>
          <w:b/>
          <w:sz w:val="22"/>
        </w:rPr>
        <w:t>Agreement</w:t>
      </w:r>
      <w:r>
        <w:rPr>
          <w:sz w:val="22"/>
        </w:rPr>
        <w:t>”);</w:t>
      </w:r>
    </w:p>
    <w:p w:rsidR="00A83EDB" w:rsidRDefault="00A83EDB" w:rsidP="00A83EDB">
      <w:pPr>
        <w:rPr>
          <w:sz w:val="22"/>
        </w:rPr>
      </w:pPr>
    </w:p>
    <w:p w:rsidR="00A83EDB" w:rsidRDefault="00A83EDB" w:rsidP="00A83EDB">
      <w:pPr>
        <w:numPr>
          <w:ilvl w:val="0"/>
          <w:numId w:val="4"/>
        </w:numPr>
        <w:jc w:val="both"/>
        <w:rPr>
          <w:sz w:val="22"/>
        </w:rPr>
      </w:pPr>
      <w:r>
        <w:rPr>
          <w:sz w:val="22"/>
        </w:rPr>
        <w:t xml:space="preserve">The </w:t>
      </w:r>
      <w:r w:rsidRPr="00ED00B2">
        <w:rPr>
          <w:sz w:val="22"/>
          <w:szCs w:val="22"/>
        </w:rPr>
        <w:t>Regasification</w:t>
      </w:r>
      <w:r>
        <w:rPr>
          <w:sz w:val="22"/>
        </w:rPr>
        <w:t xml:space="preserve"> Code is an integral part of, and shall apply to, such Agreement; and</w:t>
      </w:r>
    </w:p>
    <w:p w:rsidR="00A83EDB" w:rsidRDefault="00A83EDB" w:rsidP="00A83EDB">
      <w:pPr>
        <w:jc w:val="both"/>
        <w:rPr>
          <w:sz w:val="22"/>
        </w:rPr>
      </w:pPr>
    </w:p>
    <w:p w:rsidR="00A83EDB" w:rsidRDefault="00A83EDB" w:rsidP="00A83EDB">
      <w:pPr>
        <w:numPr>
          <w:ilvl w:val="0"/>
          <w:numId w:val="4"/>
        </w:numPr>
        <w:jc w:val="both"/>
        <w:rPr>
          <w:sz w:val="22"/>
        </w:rPr>
      </w:pPr>
      <w:r>
        <w:rPr>
          <w:sz w:val="22"/>
        </w:rPr>
        <w:t xml:space="preserve">This Guarantee (as </w:t>
      </w:r>
      <w:proofErr w:type="spellStart"/>
      <w:r>
        <w:rPr>
          <w:sz w:val="22"/>
        </w:rPr>
        <w:t>herebelow</w:t>
      </w:r>
      <w:proofErr w:type="spellEnd"/>
      <w:r>
        <w:rPr>
          <w:sz w:val="22"/>
        </w:rPr>
        <w:t xml:space="preserve"> defined) </w:t>
      </w:r>
      <w:proofErr w:type="gramStart"/>
      <w:r>
        <w:rPr>
          <w:sz w:val="22"/>
        </w:rPr>
        <w:t>is issued</w:t>
      </w:r>
      <w:proofErr w:type="gramEnd"/>
      <w:r>
        <w:rPr>
          <w:sz w:val="22"/>
        </w:rPr>
        <w:t xml:space="preserve"> in accordance with the Agreement.</w:t>
      </w:r>
    </w:p>
    <w:p w:rsidR="00A83EDB" w:rsidRDefault="00A83EDB" w:rsidP="00A83EDB">
      <w:pPr>
        <w:jc w:val="both"/>
        <w:rPr>
          <w:sz w:val="22"/>
        </w:rPr>
      </w:pPr>
    </w:p>
    <w:p w:rsidR="00A83EDB" w:rsidRDefault="00A83EDB" w:rsidP="00A83EDB">
      <w:pPr>
        <w:jc w:val="both"/>
        <w:rPr>
          <w:sz w:val="22"/>
        </w:rPr>
      </w:pPr>
      <w:r>
        <w:rPr>
          <w:sz w:val="22"/>
        </w:rPr>
        <w:t xml:space="preserve">In this </w:t>
      </w:r>
      <w:proofErr w:type="gramStart"/>
      <w:r>
        <w:rPr>
          <w:sz w:val="22"/>
        </w:rPr>
        <w:t>Guarantee</w:t>
      </w:r>
      <w:proofErr w:type="gramEnd"/>
      <w:r>
        <w:rPr>
          <w:sz w:val="22"/>
        </w:rPr>
        <w:t xml:space="preserve"> words and expressions not otherwise defined herein shall have the same meaning as are respectively assigned to them in the Agreement.</w:t>
      </w:r>
    </w:p>
    <w:p w:rsidR="00A83EDB" w:rsidRDefault="00A83EDB" w:rsidP="00A83EDB">
      <w:pPr>
        <w:jc w:val="both"/>
        <w:rPr>
          <w:sz w:val="22"/>
        </w:rPr>
      </w:pPr>
    </w:p>
    <w:p w:rsidR="00A83EDB" w:rsidRDefault="00A83EDB" w:rsidP="00A83EDB">
      <w:pPr>
        <w:jc w:val="both"/>
        <w:rPr>
          <w:sz w:val="22"/>
        </w:rPr>
      </w:pPr>
      <w:r>
        <w:rPr>
          <w:sz w:val="22"/>
        </w:rPr>
        <w:lastRenderedPageBreak/>
        <w:t>Now the undersigned [</w:t>
      </w:r>
      <w:r>
        <w:rPr>
          <w:i/>
          <w:sz w:val="22"/>
        </w:rPr>
        <w:t>insert name of the Approved Issuing Institution</w:t>
      </w:r>
      <w:r>
        <w:rPr>
          <w:sz w:val="22"/>
        </w:rPr>
        <w:t>] (hereinafter the “</w:t>
      </w:r>
      <w:r>
        <w:rPr>
          <w:b/>
          <w:sz w:val="22"/>
        </w:rPr>
        <w:t>Guarantor</w:t>
      </w:r>
      <w:r>
        <w:rPr>
          <w:sz w:val="22"/>
        </w:rPr>
        <w:t>”; the Guarantor and the Operating Company being the “</w:t>
      </w:r>
      <w:proofErr w:type="gramStart"/>
      <w:r>
        <w:rPr>
          <w:b/>
          <w:sz w:val="22"/>
        </w:rPr>
        <w:t>Parties</w:t>
      </w:r>
      <w:r>
        <w:rPr>
          <w:sz w:val="22"/>
        </w:rPr>
        <w:t>”,</w:t>
      </w:r>
      <w:proofErr w:type="gramEnd"/>
      <w:r>
        <w:rPr>
          <w:sz w:val="22"/>
        </w:rPr>
        <w:t xml:space="preserve"> and each of them a “</w:t>
      </w:r>
      <w:r>
        <w:rPr>
          <w:b/>
          <w:sz w:val="22"/>
        </w:rPr>
        <w:t>Party</w:t>
      </w:r>
      <w:r>
        <w:rPr>
          <w:sz w:val="22"/>
        </w:rPr>
        <w:t>”) hereby irrevocably and unconditionally undertakes as follows (the “</w:t>
      </w:r>
      <w:r>
        <w:rPr>
          <w:b/>
          <w:sz w:val="22"/>
        </w:rPr>
        <w:t>Guarantee</w:t>
      </w:r>
      <w:r>
        <w:rPr>
          <w:sz w:val="22"/>
        </w:rPr>
        <w:t>”):</w:t>
      </w:r>
    </w:p>
    <w:p w:rsidR="00A83EDB" w:rsidRDefault="00A83EDB" w:rsidP="00A83EDB">
      <w:pPr>
        <w:jc w:val="both"/>
        <w:rPr>
          <w:sz w:val="22"/>
        </w:rPr>
      </w:pPr>
    </w:p>
    <w:p w:rsidR="00A83EDB" w:rsidRDefault="00A83EDB" w:rsidP="00A83EDB">
      <w:pPr>
        <w:ind w:left="708" w:hanging="708"/>
        <w:jc w:val="both"/>
        <w:rPr>
          <w:sz w:val="22"/>
        </w:rPr>
      </w:pPr>
      <w:proofErr w:type="gramStart"/>
      <w:r>
        <w:rPr>
          <w:b/>
        </w:rPr>
        <w:t>1.</w:t>
      </w:r>
      <w:r>
        <w:t xml:space="preserve"> </w:t>
      </w:r>
      <w:r>
        <w:tab/>
      </w:r>
      <w:r>
        <w:rPr>
          <w:sz w:val="22"/>
        </w:rPr>
        <w:t xml:space="preserve">The Guarantor hereby irrevocably guarantees to pay to the Operating Company, up to the Amount (as </w:t>
      </w:r>
      <w:proofErr w:type="spellStart"/>
      <w:r>
        <w:rPr>
          <w:sz w:val="22"/>
        </w:rPr>
        <w:t>herebelow</w:t>
      </w:r>
      <w:proofErr w:type="spellEnd"/>
      <w:r>
        <w:rPr>
          <w:sz w:val="22"/>
        </w:rPr>
        <w:t xml:space="preserve"> defined), any and all amounts due by the User as Regasification Service Charge and Redelivery Service Costs pursuant to the Agreement, which have not been paid by the User on the respective due date (the “</w:t>
      </w:r>
      <w:r>
        <w:rPr>
          <w:b/>
          <w:sz w:val="22"/>
        </w:rPr>
        <w:t>Guaranteed Obligations</w:t>
      </w:r>
      <w:r>
        <w:rPr>
          <w:sz w:val="22"/>
        </w:rPr>
        <w:t>”), upon the Operating Company’s first demand (any such demand being referred to as a “</w:t>
      </w:r>
      <w:r>
        <w:rPr>
          <w:b/>
          <w:sz w:val="22"/>
        </w:rPr>
        <w:t>Demand</w:t>
      </w:r>
      <w:r>
        <w:rPr>
          <w:sz w:val="22"/>
        </w:rPr>
        <w:t>”).</w:t>
      </w:r>
      <w:proofErr w:type="gramEnd"/>
      <w:r>
        <w:rPr>
          <w:sz w:val="22"/>
        </w:rPr>
        <w:t xml:space="preserve"> </w:t>
      </w:r>
      <w:proofErr w:type="gramStart"/>
      <w:r>
        <w:rPr>
          <w:sz w:val="22"/>
        </w:rPr>
        <w:t xml:space="preserve">Any Demand shall be a demand for payment made in writing by the Operating Company to the Guarantor (with a copy sent to the User) in accordance with the form of Appendix A hereto attached, stating that any amounts due by the User pursuant to the Agreement and the </w:t>
      </w:r>
      <w:r w:rsidRPr="00ED00B2">
        <w:rPr>
          <w:sz w:val="22"/>
          <w:szCs w:val="22"/>
        </w:rPr>
        <w:t>Regasification</w:t>
      </w:r>
      <w:r>
        <w:rPr>
          <w:sz w:val="22"/>
        </w:rPr>
        <w:t xml:space="preserve"> Code has not been paid by the User to the Operating Company by the respective due date.</w:t>
      </w:r>
      <w:proofErr w:type="gramEnd"/>
      <w:r>
        <w:rPr>
          <w:sz w:val="22"/>
        </w:rPr>
        <w:t xml:space="preserve"> </w:t>
      </w:r>
      <w:proofErr w:type="gramStart"/>
      <w:r>
        <w:rPr>
          <w:sz w:val="22"/>
        </w:rPr>
        <w:t>The Guarantor shall pay the amounts indicated in the relevant Demand to the Operating Company (</w:t>
      </w:r>
      <w:proofErr w:type="spellStart"/>
      <w:r>
        <w:rPr>
          <w:sz w:val="22"/>
        </w:rPr>
        <w:t>i</w:t>
      </w:r>
      <w:proofErr w:type="spellEnd"/>
      <w:r>
        <w:rPr>
          <w:sz w:val="22"/>
        </w:rPr>
        <w:t>) no earlier than 10 (ten) Business Days after receipt of evidence from the Operating Company that the relevant Demand has been notified to the User by registered post (</w:t>
      </w:r>
      <w:proofErr w:type="spellStart"/>
      <w:r>
        <w:rPr>
          <w:i/>
          <w:sz w:val="22"/>
        </w:rPr>
        <w:t>raccomandata</w:t>
      </w:r>
      <w:proofErr w:type="spellEnd"/>
      <w:r>
        <w:rPr>
          <w:i/>
          <w:sz w:val="22"/>
        </w:rPr>
        <w:t xml:space="preserve"> con </w:t>
      </w:r>
      <w:proofErr w:type="spellStart"/>
      <w:r>
        <w:rPr>
          <w:i/>
          <w:sz w:val="22"/>
        </w:rPr>
        <w:t>avviso</w:t>
      </w:r>
      <w:proofErr w:type="spellEnd"/>
      <w:r>
        <w:rPr>
          <w:i/>
          <w:sz w:val="22"/>
        </w:rPr>
        <w:t xml:space="preserve"> di </w:t>
      </w:r>
      <w:proofErr w:type="spellStart"/>
      <w:r>
        <w:rPr>
          <w:i/>
          <w:sz w:val="22"/>
        </w:rPr>
        <w:t>ricevimento</w:t>
      </w:r>
      <w:proofErr w:type="spellEnd"/>
      <w:r>
        <w:rPr>
          <w:sz w:val="22"/>
        </w:rPr>
        <w:t>) pursuant to Section 12 below; and (ii) no later than 15 (fifteen) Business Days after receipt of the evidence specified in point (</w:t>
      </w:r>
      <w:proofErr w:type="spellStart"/>
      <w:r>
        <w:rPr>
          <w:sz w:val="22"/>
        </w:rPr>
        <w:t>i</w:t>
      </w:r>
      <w:proofErr w:type="spellEnd"/>
      <w:r>
        <w:rPr>
          <w:sz w:val="22"/>
        </w:rPr>
        <w:t>) above.</w:t>
      </w:r>
      <w:proofErr w:type="gramEnd"/>
    </w:p>
    <w:p w:rsidR="00A83EDB" w:rsidRDefault="00A83EDB" w:rsidP="00A83EDB">
      <w:pPr>
        <w:pStyle w:val="AltHeading3"/>
        <w:spacing w:before="0"/>
        <w:ind w:left="709" w:hanging="709"/>
        <w:rPr>
          <w:lang w:val="en-US"/>
        </w:rPr>
      </w:pPr>
    </w:p>
    <w:p w:rsidR="00A83EDB" w:rsidRDefault="00A83EDB" w:rsidP="00A83EDB">
      <w:pPr>
        <w:ind w:left="708" w:hanging="708"/>
        <w:jc w:val="both"/>
        <w:rPr>
          <w:sz w:val="22"/>
        </w:rPr>
      </w:pPr>
      <w:r>
        <w:rPr>
          <w:b/>
          <w:sz w:val="22"/>
        </w:rPr>
        <w:t>2.</w:t>
      </w:r>
      <w:r>
        <w:rPr>
          <w:sz w:val="22"/>
        </w:rPr>
        <w:tab/>
        <w:t>For the first year of effectiveness of this Guarantee the aggregate maximum amount payable by the Guarantor hereunder (the “</w:t>
      </w:r>
      <w:r>
        <w:rPr>
          <w:b/>
          <w:sz w:val="22"/>
        </w:rPr>
        <w:t>Amount</w:t>
      </w:r>
      <w:r>
        <w:rPr>
          <w:sz w:val="22"/>
        </w:rPr>
        <w:t>”) shall be equal to Euro [</w:t>
      </w:r>
      <w:r>
        <w:rPr>
          <w:sz w:val="22"/>
        </w:rPr>
        <w:sym w:font="Symbol" w:char="F0B7"/>
      </w:r>
      <w:r>
        <w:rPr>
          <w:sz w:val="22"/>
        </w:rPr>
        <w:t>]</w:t>
      </w:r>
      <w:r>
        <w:rPr>
          <w:rStyle w:val="FootnoteReference"/>
        </w:rPr>
        <w:footnoteReference w:id="2"/>
      </w:r>
      <w:r>
        <w:rPr>
          <w:sz w:val="22"/>
        </w:rPr>
        <w:t>.</w:t>
      </w:r>
    </w:p>
    <w:p w:rsidR="00A83EDB" w:rsidRDefault="00A83EDB" w:rsidP="00A83EDB">
      <w:pPr>
        <w:tabs>
          <w:tab w:val="left" w:pos="1418"/>
        </w:tabs>
        <w:ind w:left="709"/>
        <w:jc w:val="both"/>
        <w:rPr>
          <w:sz w:val="22"/>
        </w:rPr>
      </w:pPr>
      <w:r>
        <w:rPr>
          <w:sz w:val="22"/>
        </w:rPr>
        <w:lastRenderedPageBreak/>
        <w:t xml:space="preserve"> </w:t>
      </w:r>
    </w:p>
    <w:p w:rsidR="00A83EDB" w:rsidRDefault="00A83EDB" w:rsidP="00A83EDB">
      <w:pPr>
        <w:tabs>
          <w:tab w:val="left" w:pos="1418"/>
        </w:tabs>
        <w:ind w:left="709"/>
        <w:jc w:val="both"/>
        <w:rPr>
          <w:sz w:val="22"/>
        </w:rPr>
      </w:pPr>
      <w:proofErr w:type="gramStart"/>
      <w:r>
        <w:rPr>
          <w:sz w:val="22"/>
        </w:rPr>
        <w:t>Without prejudice to the right of the Guarantor to terminate this Guarantee pursuant to Section 4 below, if the effectiveness of this Guarantee is extended pursuant to Section 4, the Amount applicable during the relevant Extended Period shall be determined as follows: the User shall, at least forty (40) days before the Stated Expiration Date or the New Expiration Date (as applicable), notify to the Guarantor, with a copy to the Operating Company, the Amount that will apply during such Extended Period determined pursuant to Appendix B hereto attached.</w:t>
      </w:r>
      <w:proofErr w:type="gramEnd"/>
    </w:p>
    <w:p w:rsidR="00A83EDB" w:rsidRDefault="00A83EDB" w:rsidP="00A83EDB">
      <w:pPr>
        <w:tabs>
          <w:tab w:val="left" w:pos="1418"/>
        </w:tabs>
        <w:ind w:left="709"/>
        <w:jc w:val="both"/>
        <w:rPr>
          <w:sz w:val="22"/>
        </w:rPr>
      </w:pPr>
    </w:p>
    <w:p w:rsidR="00A83EDB" w:rsidRDefault="00A83EDB" w:rsidP="00A83EDB">
      <w:pPr>
        <w:pStyle w:val="BodyTextIndent"/>
        <w:ind w:left="720" w:firstLine="0"/>
        <w:rPr>
          <w:sz w:val="22"/>
        </w:rPr>
      </w:pPr>
      <w:r>
        <w:rPr>
          <w:sz w:val="22"/>
        </w:rPr>
        <w:t xml:space="preserve">Payment </w:t>
      </w:r>
      <w:proofErr w:type="gramStart"/>
      <w:r>
        <w:rPr>
          <w:sz w:val="22"/>
        </w:rPr>
        <w:t>shall be made</w:t>
      </w:r>
      <w:proofErr w:type="gramEnd"/>
      <w:r>
        <w:rPr>
          <w:sz w:val="22"/>
        </w:rPr>
        <w:t xml:space="preserve"> in favour of the Operating Company to such account as specified in the relevant Demand.</w:t>
      </w:r>
    </w:p>
    <w:p w:rsidR="00A83EDB" w:rsidRDefault="00A83EDB" w:rsidP="00A83EDB">
      <w:pPr>
        <w:jc w:val="both"/>
        <w:rPr>
          <w:sz w:val="22"/>
        </w:rPr>
      </w:pPr>
    </w:p>
    <w:p w:rsidR="00A83EDB" w:rsidRDefault="00A83EDB" w:rsidP="00A83EDB">
      <w:pPr>
        <w:ind w:left="705" w:hanging="705"/>
        <w:jc w:val="both"/>
        <w:rPr>
          <w:sz w:val="22"/>
        </w:rPr>
      </w:pPr>
      <w:r>
        <w:rPr>
          <w:b/>
          <w:sz w:val="22"/>
        </w:rPr>
        <w:t>3.</w:t>
      </w:r>
      <w:r>
        <w:rPr>
          <w:sz w:val="22"/>
        </w:rPr>
        <w:tab/>
        <w:t xml:space="preserve">The liability of the Guarantor shall not be impaired, reduced or affected </w:t>
      </w:r>
      <w:proofErr w:type="gramStart"/>
      <w:r>
        <w:rPr>
          <w:sz w:val="22"/>
        </w:rPr>
        <w:t>by reason of</w:t>
      </w:r>
      <w:proofErr w:type="gramEnd"/>
      <w:r>
        <w:rPr>
          <w:sz w:val="22"/>
        </w:rPr>
        <w:t xml:space="preserve"> any of the following (whether or not the Guarantor has notice thereof or has consented thereto):</w:t>
      </w:r>
    </w:p>
    <w:p w:rsidR="00A83EDB" w:rsidRDefault="00A83EDB" w:rsidP="00A83EDB">
      <w:pPr>
        <w:tabs>
          <w:tab w:val="num" w:pos="709"/>
        </w:tabs>
        <w:ind w:left="709" w:hanging="709"/>
        <w:jc w:val="both"/>
        <w:rPr>
          <w:sz w:val="22"/>
        </w:rPr>
      </w:pPr>
    </w:p>
    <w:p w:rsidR="00A83EDB" w:rsidRDefault="00A83EDB" w:rsidP="00A83EDB">
      <w:pPr>
        <w:numPr>
          <w:ilvl w:val="0"/>
          <w:numId w:val="5"/>
        </w:numPr>
        <w:ind w:left="1418" w:hanging="709"/>
        <w:jc w:val="both"/>
        <w:rPr>
          <w:sz w:val="22"/>
        </w:rPr>
      </w:pPr>
      <w:r>
        <w:rPr>
          <w:sz w:val="22"/>
        </w:rPr>
        <w:t>any time being given to the User or any forbearance or forgiveness under the Agreement by the Operating Company or any delay on the part of the Operating Company in asserting any of its rights against the User; or</w:t>
      </w:r>
    </w:p>
    <w:p w:rsidR="00A83EDB" w:rsidRDefault="00A83EDB" w:rsidP="00A83EDB">
      <w:pPr>
        <w:tabs>
          <w:tab w:val="num" w:pos="709"/>
          <w:tab w:val="num" w:pos="1276"/>
          <w:tab w:val="num" w:pos="1418"/>
        </w:tabs>
        <w:ind w:left="1418" w:hanging="709"/>
        <w:jc w:val="both"/>
        <w:rPr>
          <w:sz w:val="22"/>
        </w:rPr>
      </w:pPr>
    </w:p>
    <w:p w:rsidR="00A83EDB" w:rsidRDefault="00A83EDB" w:rsidP="00A83EDB">
      <w:pPr>
        <w:numPr>
          <w:ilvl w:val="0"/>
          <w:numId w:val="5"/>
        </w:numPr>
        <w:ind w:left="1418" w:hanging="709"/>
        <w:jc w:val="both"/>
        <w:rPr>
          <w:sz w:val="22"/>
        </w:rPr>
      </w:pPr>
      <w:r>
        <w:rPr>
          <w:sz w:val="22"/>
        </w:rPr>
        <w:t>any disability, incapacity, change in ownership or change in status of the User; or</w:t>
      </w:r>
    </w:p>
    <w:p w:rsidR="00A83EDB" w:rsidRDefault="00A83EDB" w:rsidP="00A83EDB">
      <w:pPr>
        <w:tabs>
          <w:tab w:val="num" w:pos="709"/>
          <w:tab w:val="num" w:pos="1276"/>
          <w:tab w:val="num" w:pos="1418"/>
        </w:tabs>
        <w:ind w:left="1418" w:hanging="709"/>
        <w:jc w:val="both"/>
        <w:rPr>
          <w:sz w:val="22"/>
        </w:rPr>
      </w:pPr>
    </w:p>
    <w:p w:rsidR="00A83EDB" w:rsidRDefault="00A83EDB" w:rsidP="00A83EDB">
      <w:pPr>
        <w:numPr>
          <w:ilvl w:val="0"/>
          <w:numId w:val="5"/>
        </w:numPr>
        <w:ind w:left="1418" w:hanging="709"/>
        <w:jc w:val="both"/>
        <w:rPr>
          <w:sz w:val="22"/>
        </w:rPr>
      </w:pPr>
      <w:r>
        <w:rPr>
          <w:sz w:val="22"/>
        </w:rPr>
        <w:t xml:space="preserve">any event of </w:t>
      </w:r>
      <w:r>
        <w:rPr>
          <w:sz w:val="22"/>
          <w:lang w:val="en-US"/>
        </w:rPr>
        <w:t xml:space="preserve">liquidation, bankruptcy, </w:t>
      </w:r>
      <w:r>
        <w:rPr>
          <w:sz w:val="22"/>
        </w:rPr>
        <w:t xml:space="preserve">insolvency </w:t>
      </w:r>
      <w:r>
        <w:rPr>
          <w:sz w:val="22"/>
          <w:lang w:val="en-US"/>
        </w:rPr>
        <w:t xml:space="preserve">proceedings or similar proceedings </w:t>
      </w:r>
      <w:r>
        <w:rPr>
          <w:sz w:val="22"/>
        </w:rPr>
        <w:t>or a change in the constitution of the User; or</w:t>
      </w:r>
    </w:p>
    <w:p w:rsidR="00A83EDB" w:rsidRDefault="00A83EDB" w:rsidP="00A83EDB">
      <w:pPr>
        <w:tabs>
          <w:tab w:val="num" w:pos="709"/>
          <w:tab w:val="num" w:pos="1276"/>
          <w:tab w:val="num" w:pos="1418"/>
        </w:tabs>
        <w:ind w:left="1418" w:hanging="709"/>
        <w:jc w:val="both"/>
        <w:rPr>
          <w:sz w:val="22"/>
        </w:rPr>
      </w:pPr>
    </w:p>
    <w:p w:rsidR="00A83EDB" w:rsidRDefault="00A83EDB" w:rsidP="00A83EDB">
      <w:pPr>
        <w:numPr>
          <w:ilvl w:val="0"/>
          <w:numId w:val="5"/>
        </w:numPr>
        <w:ind w:left="1418" w:hanging="709"/>
        <w:jc w:val="both"/>
        <w:rPr>
          <w:sz w:val="22"/>
        </w:rPr>
      </w:pPr>
      <w:r>
        <w:rPr>
          <w:sz w:val="22"/>
        </w:rPr>
        <w:t>any other bond, security or guarantee held by the Operating Company for any of the obligations of the User under the Agreement or by any failure or delay by the Operating Company to enforce such bond, security or guarantee or by the release or waiver of such bond, security or guarantee by the Operating Company whether in whole or in part;</w:t>
      </w:r>
      <w:r>
        <w:rPr>
          <w:snapToGrid w:val="0"/>
          <w:color w:val="000000"/>
          <w:sz w:val="22"/>
        </w:rPr>
        <w:t xml:space="preserve"> provided however that under no circumstance whatsoever shall the Operating Company make a Demand in accordance hereunder with reference to any amount due pursuant to the Agreement which has been paid to the Operating Company under any such other bond, security or guarantee;</w:t>
      </w:r>
      <w:r>
        <w:rPr>
          <w:sz w:val="22"/>
        </w:rPr>
        <w:t xml:space="preserve"> or</w:t>
      </w:r>
    </w:p>
    <w:p w:rsidR="00A83EDB" w:rsidRDefault="00A83EDB" w:rsidP="00A83EDB">
      <w:pPr>
        <w:tabs>
          <w:tab w:val="num" w:pos="709"/>
          <w:tab w:val="num" w:pos="1276"/>
          <w:tab w:val="num" w:pos="1418"/>
        </w:tabs>
        <w:ind w:left="1418" w:hanging="709"/>
        <w:jc w:val="both"/>
        <w:rPr>
          <w:sz w:val="22"/>
        </w:rPr>
      </w:pPr>
    </w:p>
    <w:p w:rsidR="00A83EDB" w:rsidRDefault="00A83EDB" w:rsidP="00A83EDB">
      <w:pPr>
        <w:numPr>
          <w:ilvl w:val="0"/>
          <w:numId w:val="5"/>
        </w:numPr>
        <w:ind w:left="1418" w:hanging="709"/>
        <w:jc w:val="both"/>
        <w:rPr>
          <w:sz w:val="22"/>
        </w:rPr>
      </w:pPr>
      <w:proofErr w:type="gramStart"/>
      <w:r>
        <w:rPr>
          <w:sz w:val="22"/>
        </w:rPr>
        <w:t>any</w:t>
      </w:r>
      <w:proofErr w:type="gramEnd"/>
      <w:r>
        <w:rPr>
          <w:sz w:val="22"/>
        </w:rPr>
        <w:t xml:space="preserve"> invalidity, illegality or unenforceability of the Agreement or of any provision thereof.</w:t>
      </w:r>
    </w:p>
    <w:p w:rsidR="00A83EDB" w:rsidRDefault="00A83EDB" w:rsidP="00A83EDB">
      <w:pPr>
        <w:ind w:left="705" w:hanging="705"/>
        <w:jc w:val="both"/>
        <w:rPr>
          <w:b/>
          <w:sz w:val="22"/>
          <w:lang w:val="en-US"/>
        </w:rPr>
      </w:pPr>
    </w:p>
    <w:p w:rsidR="00A83EDB" w:rsidRDefault="00A83EDB" w:rsidP="00A83EDB">
      <w:pPr>
        <w:ind w:left="705" w:hanging="705"/>
        <w:jc w:val="both"/>
        <w:rPr>
          <w:sz w:val="22"/>
        </w:rPr>
      </w:pPr>
      <w:proofErr w:type="gramStart"/>
      <w:r>
        <w:rPr>
          <w:b/>
          <w:sz w:val="22"/>
          <w:lang w:val="en-US"/>
        </w:rPr>
        <w:t>4.</w:t>
      </w:r>
      <w:r>
        <w:rPr>
          <w:b/>
          <w:sz w:val="22"/>
          <w:lang w:val="en-US"/>
        </w:rPr>
        <w:tab/>
      </w:r>
      <w:r>
        <w:rPr>
          <w:sz w:val="22"/>
        </w:rPr>
        <w:t>This Guarantee shall come into force immediately at the date above written (the “</w:t>
      </w:r>
      <w:r>
        <w:rPr>
          <w:b/>
          <w:sz w:val="22"/>
        </w:rPr>
        <w:t>Effective Date</w:t>
      </w:r>
      <w:r>
        <w:rPr>
          <w:sz w:val="22"/>
        </w:rPr>
        <w:t>”) and shall be effective until the date falling on the first anniversary of the Effective Date (the “</w:t>
      </w:r>
      <w:r>
        <w:rPr>
          <w:b/>
          <w:sz w:val="22"/>
        </w:rPr>
        <w:t xml:space="preserve">Stated </w:t>
      </w:r>
      <w:r>
        <w:rPr>
          <w:b/>
          <w:sz w:val="22"/>
        </w:rPr>
        <w:lastRenderedPageBreak/>
        <w:t>Expiration Date</w:t>
      </w:r>
      <w:r>
        <w:rPr>
          <w:sz w:val="22"/>
        </w:rPr>
        <w:t>”), provided however that the effectiveness of this Guarantee shall be automatically extended for further consecutive periods of one (1) year each (each such period an “</w:t>
      </w:r>
      <w:r>
        <w:rPr>
          <w:b/>
          <w:sz w:val="22"/>
        </w:rPr>
        <w:t>Extended Period</w:t>
      </w:r>
      <w:r>
        <w:rPr>
          <w:sz w:val="22"/>
        </w:rPr>
        <w:t>”) unless, at least thirty (30) days prior to the Stated Expiration Date or to the date falling on any consecutive anniversary thereof (the “</w:t>
      </w:r>
      <w:r>
        <w:rPr>
          <w:b/>
          <w:sz w:val="22"/>
        </w:rPr>
        <w:t>New Expiration Date</w:t>
      </w:r>
      <w:r>
        <w:rPr>
          <w:sz w:val="22"/>
        </w:rPr>
        <w:t>”), as the case may be, the Guarantor notifies in writing the Operating Company, pursuant to Section 12 below, that this Guarantee shall have to be deemed as terminated on the Stated Expiration Date or the New Expiration Date, as the case may be.</w:t>
      </w:r>
      <w:proofErr w:type="gramEnd"/>
      <w:r>
        <w:rPr>
          <w:sz w:val="22"/>
        </w:rPr>
        <w:t xml:space="preserve"> </w:t>
      </w:r>
    </w:p>
    <w:p w:rsidR="00A83EDB" w:rsidRDefault="00A83EDB" w:rsidP="00A83EDB">
      <w:pPr>
        <w:ind w:left="709" w:hanging="709"/>
        <w:jc w:val="both"/>
        <w:rPr>
          <w:sz w:val="22"/>
        </w:rPr>
      </w:pPr>
    </w:p>
    <w:p w:rsidR="00A83EDB" w:rsidRDefault="00A83EDB" w:rsidP="00A83EDB">
      <w:pPr>
        <w:tabs>
          <w:tab w:val="num" w:pos="993"/>
        </w:tabs>
        <w:ind w:left="709" w:hanging="709"/>
        <w:jc w:val="both"/>
        <w:rPr>
          <w:sz w:val="22"/>
        </w:rPr>
      </w:pPr>
      <w:r>
        <w:rPr>
          <w:b/>
          <w:sz w:val="22"/>
        </w:rPr>
        <w:t>5.</w:t>
      </w:r>
      <w:r>
        <w:rPr>
          <w:b/>
          <w:sz w:val="22"/>
        </w:rPr>
        <w:tab/>
      </w:r>
      <w:r>
        <w:rPr>
          <w:sz w:val="22"/>
        </w:rPr>
        <w:t xml:space="preserve">The Guarantor represents to the Operating Company that as at the date of this </w:t>
      </w:r>
      <w:proofErr w:type="gramStart"/>
      <w:r>
        <w:rPr>
          <w:sz w:val="22"/>
        </w:rPr>
        <w:t>Guarantee</w:t>
      </w:r>
      <w:proofErr w:type="gramEnd"/>
      <w:r>
        <w:rPr>
          <w:sz w:val="22"/>
        </w:rPr>
        <w:t>:</w:t>
      </w:r>
    </w:p>
    <w:p w:rsidR="00A83EDB" w:rsidRDefault="00A83EDB" w:rsidP="00A83EDB">
      <w:pPr>
        <w:tabs>
          <w:tab w:val="num" w:pos="993"/>
        </w:tabs>
        <w:ind w:left="709" w:hanging="709"/>
        <w:jc w:val="both"/>
        <w:rPr>
          <w:sz w:val="22"/>
        </w:rPr>
      </w:pPr>
    </w:p>
    <w:p w:rsidR="00A83EDB" w:rsidRDefault="00A83EDB" w:rsidP="00A83EDB">
      <w:pPr>
        <w:ind w:left="1276" w:hanging="567"/>
        <w:jc w:val="both"/>
        <w:rPr>
          <w:sz w:val="22"/>
        </w:rPr>
      </w:pPr>
      <w:r w:rsidRPr="00C85BD2">
        <w:rPr>
          <w:sz w:val="22"/>
        </w:rPr>
        <w:t>(a)</w:t>
      </w:r>
      <w:r w:rsidRPr="00C85BD2">
        <w:rPr>
          <w:sz w:val="22"/>
        </w:rPr>
        <w:tab/>
      </w:r>
      <w:r>
        <w:rPr>
          <w:sz w:val="22"/>
        </w:rPr>
        <w:t>the execution and delivery of this Guarantee and the performance of all transactions and obligations contemplated hereby are within its corporate authority, and the execution, delivery and performance hereof have been duly authorised by all necessary proceedings;</w:t>
      </w:r>
    </w:p>
    <w:p w:rsidR="00A83EDB" w:rsidRDefault="00A83EDB" w:rsidP="00A83EDB">
      <w:pPr>
        <w:ind w:left="1276" w:hanging="567"/>
        <w:jc w:val="both"/>
        <w:rPr>
          <w:sz w:val="22"/>
        </w:rPr>
      </w:pPr>
    </w:p>
    <w:p w:rsidR="00A83EDB" w:rsidRDefault="00A83EDB" w:rsidP="00A83EDB">
      <w:pPr>
        <w:spacing w:after="240" w:line="280" w:lineRule="exact"/>
        <w:ind w:left="1276" w:hanging="594"/>
        <w:jc w:val="both"/>
        <w:rPr>
          <w:sz w:val="22"/>
        </w:rPr>
      </w:pPr>
      <w:r w:rsidRPr="00C85BD2">
        <w:rPr>
          <w:sz w:val="22"/>
        </w:rPr>
        <w:t>(b)</w:t>
      </w:r>
      <w:r w:rsidRPr="00C85BD2">
        <w:rPr>
          <w:sz w:val="22"/>
        </w:rPr>
        <w:tab/>
      </w:r>
      <w:r>
        <w:rPr>
          <w:sz w:val="22"/>
        </w:rPr>
        <w:t>it is a bank or other credit institution whose long term unsecured and unguaranteed debt has a rating not less than at least two (2) of the following rating agencies:</w:t>
      </w:r>
    </w:p>
    <w:p w:rsidR="00A83EDB" w:rsidRDefault="00A83EDB" w:rsidP="00A83EDB">
      <w:pPr>
        <w:spacing w:after="240" w:line="280" w:lineRule="exact"/>
        <w:ind w:left="1985" w:hanging="709"/>
        <w:jc w:val="both"/>
        <w:rPr>
          <w:sz w:val="22"/>
        </w:rPr>
      </w:pPr>
      <w:r>
        <w:rPr>
          <w:sz w:val="22"/>
        </w:rPr>
        <w:t>(</w:t>
      </w:r>
      <w:proofErr w:type="spellStart"/>
      <w:r>
        <w:rPr>
          <w:sz w:val="22"/>
        </w:rPr>
        <w:t>i</w:t>
      </w:r>
      <w:proofErr w:type="spellEnd"/>
      <w:r>
        <w:rPr>
          <w:sz w:val="22"/>
        </w:rPr>
        <w:t>)</w:t>
      </w:r>
      <w:r>
        <w:rPr>
          <w:sz w:val="22"/>
        </w:rPr>
        <w:tab/>
        <w:t>BBB- issued by S&amp;P;</w:t>
      </w:r>
    </w:p>
    <w:p w:rsidR="00A83EDB" w:rsidRDefault="00A83EDB" w:rsidP="00A83EDB">
      <w:pPr>
        <w:spacing w:after="240" w:line="280" w:lineRule="exact"/>
        <w:ind w:left="1985" w:hanging="709"/>
        <w:jc w:val="both"/>
        <w:rPr>
          <w:sz w:val="22"/>
        </w:rPr>
      </w:pPr>
      <w:r>
        <w:rPr>
          <w:sz w:val="22"/>
        </w:rPr>
        <w:t>(ii)</w:t>
      </w:r>
      <w:r>
        <w:rPr>
          <w:sz w:val="22"/>
        </w:rPr>
        <w:tab/>
        <w:t>Baa3 issued by Moody's; and/or</w:t>
      </w:r>
    </w:p>
    <w:p w:rsidR="00A83EDB" w:rsidRDefault="00A83EDB" w:rsidP="00A83EDB">
      <w:pPr>
        <w:spacing w:line="280" w:lineRule="exact"/>
        <w:ind w:left="1985" w:hanging="709"/>
        <w:jc w:val="both"/>
        <w:rPr>
          <w:b/>
          <w:sz w:val="22"/>
        </w:rPr>
      </w:pPr>
      <w:r>
        <w:rPr>
          <w:sz w:val="22"/>
        </w:rPr>
        <w:t>(iii)</w:t>
      </w:r>
      <w:r>
        <w:rPr>
          <w:sz w:val="22"/>
        </w:rPr>
        <w:tab/>
        <w:t>BBB issued by Fitch Ratings; and</w:t>
      </w:r>
    </w:p>
    <w:p w:rsidR="00A83EDB" w:rsidRDefault="00A83EDB" w:rsidP="00A83EDB">
      <w:pPr>
        <w:jc w:val="both"/>
        <w:rPr>
          <w:sz w:val="22"/>
        </w:rPr>
      </w:pPr>
    </w:p>
    <w:p w:rsidR="00A83EDB" w:rsidRDefault="00A83EDB" w:rsidP="00A83EDB">
      <w:pPr>
        <w:tabs>
          <w:tab w:val="left" w:pos="1276"/>
        </w:tabs>
        <w:ind w:left="1276" w:hanging="568"/>
        <w:jc w:val="both"/>
        <w:rPr>
          <w:sz w:val="22"/>
        </w:rPr>
      </w:pPr>
      <w:r w:rsidRPr="00C85BD2">
        <w:rPr>
          <w:sz w:val="22"/>
        </w:rPr>
        <w:t>(c)</w:t>
      </w:r>
      <w:r w:rsidRPr="00C85BD2">
        <w:rPr>
          <w:sz w:val="22"/>
        </w:rPr>
        <w:tab/>
      </w:r>
      <w:proofErr w:type="gramStart"/>
      <w:r>
        <w:rPr>
          <w:sz w:val="22"/>
        </w:rPr>
        <w:t>this</w:t>
      </w:r>
      <w:proofErr w:type="gramEnd"/>
      <w:r>
        <w:rPr>
          <w:sz w:val="22"/>
        </w:rPr>
        <w:t xml:space="preserve"> Guarantee constitutes valid and legally binding obligations of the Guarantor enforceable in accordance with its terms.</w:t>
      </w:r>
    </w:p>
    <w:p w:rsidR="00A83EDB" w:rsidRDefault="00A83EDB" w:rsidP="00A83EDB">
      <w:pPr>
        <w:ind w:left="708" w:hanging="708"/>
        <w:jc w:val="both"/>
        <w:rPr>
          <w:sz w:val="22"/>
        </w:rPr>
      </w:pPr>
    </w:p>
    <w:p w:rsidR="00A83EDB" w:rsidRDefault="00A83EDB" w:rsidP="00A83EDB">
      <w:pPr>
        <w:ind w:left="709" w:hanging="709"/>
        <w:jc w:val="both"/>
        <w:rPr>
          <w:sz w:val="22"/>
        </w:rPr>
      </w:pPr>
      <w:r>
        <w:rPr>
          <w:b/>
          <w:sz w:val="22"/>
        </w:rPr>
        <w:t>6.</w:t>
      </w:r>
      <w:r>
        <w:rPr>
          <w:b/>
          <w:sz w:val="22"/>
        </w:rPr>
        <w:tab/>
      </w:r>
      <w:r>
        <w:rPr>
          <w:sz w:val="22"/>
        </w:rPr>
        <w:t>The Guarantor agrees that this Guarantee shall be additional to and not in substitution for any rights or remedies that the Operating Company may have against the User under the Agreement or at law.</w:t>
      </w:r>
    </w:p>
    <w:p w:rsidR="00A83EDB" w:rsidRDefault="00A83EDB" w:rsidP="00A83EDB">
      <w:pPr>
        <w:pStyle w:val="NormalIndent"/>
        <w:numPr>
          <w:ilvl w:val="0"/>
          <w:numId w:val="0"/>
        </w:numPr>
        <w:spacing w:before="0"/>
        <w:ind w:left="709" w:hanging="709"/>
        <w:rPr>
          <w:lang w:val="en-US"/>
        </w:rPr>
      </w:pPr>
    </w:p>
    <w:p w:rsidR="00A83EDB" w:rsidRDefault="00A83EDB" w:rsidP="00A83EDB">
      <w:pPr>
        <w:ind w:left="705" w:hanging="705"/>
        <w:jc w:val="both"/>
        <w:rPr>
          <w:sz w:val="22"/>
        </w:rPr>
      </w:pPr>
      <w:r>
        <w:rPr>
          <w:b/>
          <w:lang w:val="en-US"/>
        </w:rPr>
        <w:t>7.</w:t>
      </w:r>
      <w:r>
        <w:rPr>
          <w:lang w:val="en-US"/>
        </w:rPr>
        <w:tab/>
      </w:r>
      <w:r>
        <w:rPr>
          <w:sz w:val="22"/>
        </w:rPr>
        <w:t>In case of any delay in the payment of the Guaranteed Obligations, the Guarantor shall pay to the Operating Company default interest on and subject to the same terms of the Regasification Code.</w:t>
      </w:r>
    </w:p>
    <w:p w:rsidR="00A83EDB" w:rsidRDefault="00A83EDB" w:rsidP="00A83EDB">
      <w:pPr>
        <w:ind w:left="705" w:hanging="705"/>
        <w:jc w:val="both"/>
        <w:rPr>
          <w:sz w:val="22"/>
        </w:rPr>
      </w:pPr>
    </w:p>
    <w:p w:rsidR="00A83EDB" w:rsidRDefault="00A83EDB" w:rsidP="00A83EDB">
      <w:pPr>
        <w:ind w:left="709" w:hanging="709"/>
        <w:jc w:val="both"/>
        <w:rPr>
          <w:sz w:val="22"/>
        </w:rPr>
      </w:pPr>
      <w:proofErr w:type="gramStart"/>
      <w:r>
        <w:rPr>
          <w:b/>
          <w:sz w:val="22"/>
        </w:rPr>
        <w:t>8.</w:t>
      </w:r>
      <w:r>
        <w:rPr>
          <w:b/>
          <w:sz w:val="22"/>
        </w:rPr>
        <w:tab/>
      </w:r>
      <w:r>
        <w:rPr>
          <w:sz w:val="22"/>
        </w:rPr>
        <w:t>Any release, discharge or settlement between the Guarantor and the Operating Company shall be conditional upon no security, disposition or payment to the Operating Company being avoided, set aside or ordered to be refunded pursuant to any enactment or law relating to bankruptcy, liquidation, administration or insolvency or for any other reason whatsoever and, should this condition not be fulfilled, the Operating Company shall be entitled to enforce this Guarantee subsequently as if such release, discharge or settlement had not occurred and any payment had not been made.</w:t>
      </w:r>
      <w:proofErr w:type="gramEnd"/>
    </w:p>
    <w:p w:rsidR="00A83EDB" w:rsidRDefault="00A83EDB" w:rsidP="00A83EDB">
      <w:pPr>
        <w:ind w:left="709" w:hanging="709"/>
        <w:jc w:val="both"/>
        <w:rPr>
          <w:sz w:val="22"/>
        </w:rPr>
      </w:pPr>
    </w:p>
    <w:p w:rsidR="00A83EDB" w:rsidRDefault="00A83EDB" w:rsidP="00A83EDB">
      <w:pPr>
        <w:ind w:left="709" w:hanging="709"/>
        <w:jc w:val="both"/>
        <w:rPr>
          <w:sz w:val="22"/>
        </w:rPr>
      </w:pPr>
      <w:r>
        <w:rPr>
          <w:b/>
          <w:sz w:val="22"/>
        </w:rPr>
        <w:t>9.</w:t>
      </w:r>
      <w:r>
        <w:rPr>
          <w:b/>
          <w:sz w:val="22"/>
        </w:rPr>
        <w:tab/>
      </w:r>
      <w:r>
        <w:rPr>
          <w:sz w:val="22"/>
        </w:rPr>
        <w:t>No failure or delay by the Operating Company in exercising any right or remedy under this Guarantee shall operate as a waiver, nor shall any single or partial exercise or waiver of any right or remedy under this Guarantee preclude its further exercise or the exercise of any other right or remedy, respectively.</w:t>
      </w:r>
    </w:p>
    <w:p w:rsidR="00A83EDB" w:rsidRDefault="00A83EDB" w:rsidP="00A83EDB">
      <w:pPr>
        <w:ind w:left="404"/>
        <w:jc w:val="both"/>
        <w:rPr>
          <w:sz w:val="22"/>
        </w:rPr>
      </w:pPr>
    </w:p>
    <w:p w:rsidR="00A83EDB" w:rsidRDefault="00A83EDB" w:rsidP="00A83EDB">
      <w:pPr>
        <w:ind w:left="709" w:hanging="709"/>
        <w:jc w:val="both"/>
        <w:rPr>
          <w:sz w:val="22"/>
        </w:rPr>
      </w:pPr>
      <w:r>
        <w:rPr>
          <w:b/>
          <w:sz w:val="22"/>
        </w:rPr>
        <w:t>10.</w:t>
      </w:r>
      <w:r>
        <w:rPr>
          <w:b/>
          <w:sz w:val="22"/>
        </w:rPr>
        <w:tab/>
      </w:r>
      <w:r>
        <w:rPr>
          <w:sz w:val="22"/>
        </w:rPr>
        <w:t>The Guarantor hereby irrevocably waives any right and benefits provided for under Articles 1944, 1945, 1955 and 1957 of the Italian civil code.</w:t>
      </w:r>
      <w:r>
        <w:rPr>
          <w:b/>
          <w:sz w:val="22"/>
        </w:rPr>
        <w:t xml:space="preserve"> </w:t>
      </w:r>
      <w:r>
        <w:rPr>
          <w:sz w:val="22"/>
        </w:rPr>
        <w:t xml:space="preserve">Each of the provisions of this Guarantee is severable and distinct from the others, and if at any </w:t>
      </w:r>
      <w:proofErr w:type="gramStart"/>
      <w:r>
        <w:rPr>
          <w:sz w:val="22"/>
        </w:rPr>
        <w:t>time</w:t>
      </w:r>
      <w:proofErr w:type="gramEnd"/>
      <w:r>
        <w:rPr>
          <w:sz w:val="22"/>
        </w:rPr>
        <w:t xml:space="preserve"> any such provision is or becomes ineffective, inoperable, invalid or unenforceable it shall be severed and deemed to be deleted from this Guarantee, and in such event the remaining provisions of this Guarantee shall continue to have full force and effect.</w:t>
      </w:r>
    </w:p>
    <w:p w:rsidR="00A83EDB" w:rsidRDefault="00A83EDB" w:rsidP="00A83EDB">
      <w:pPr>
        <w:jc w:val="both"/>
        <w:rPr>
          <w:sz w:val="22"/>
        </w:rPr>
      </w:pPr>
    </w:p>
    <w:p w:rsidR="00A83EDB" w:rsidRDefault="00A83EDB" w:rsidP="00A83EDB">
      <w:pPr>
        <w:ind w:left="709" w:hanging="709"/>
        <w:jc w:val="both"/>
        <w:rPr>
          <w:sz w:val="22"/>
          <w:lang w:val="en-US"/>
        </w:rPr>
      </w:pPr>
      <w:r>
        <w:rPr>
          <w:b/>
          <w:sz w:val="22"/>
        </w:rPr>
        <w:t>11.</w:t>
      </w:r>
      <w:r>
        <w:rPr>
          <w:b/>
          <w:sz w:val="22"/>
        </w:rPr>
        <w:tab/>
      </w:r>
      <w:r>
        <w:rPr>
          <w:sz w:val="22"/>
          <w:lang w:val="en-US"/>
        </w:rPr>
        <w:t xml:space="preserve">This Guarantee is for the benefit of the Operating Company and its successors, transferees and assignees in connection with the Agreement. </w:t>
      </w:r>
    </w:p>
    <w:p w:rsidR="00A83EDB" w:rsidRDefault="00A83EDB" w:rsidP="00A83EDB">
      <w:pPr>
        <w:ind w:left="709" w:hanging="709"/>
        <w:jc w:val="both"/>
        <w:rPr>
          <w:sz w:val="22"/>
        </w:rPr>
      </w:pPr>
    </w:p>
    <w:p w:rsidR="00A83EDB" w:rsidRDefault="00A83EDB" w:rsidP="00A83EDB">
      <w:pPr>
        <w:spacing w:after="240"/>
        <w:ind w:left="709" w:hanging="709"/>
        <w:jc w:val="both"/>
        <w:rPr>
          <w:sz w:val="22"/>
        </w:rPr>
      </w:pPr>
      <w:proofErr w:type="gramStart"/>
      <w:r>
        <w:rPr>
          <w:b/>
          <w:sz w:val="22"/>
        </w:rPr>
        <w:t>12.</w:t>
      </w:r>
      <w:r>
        <w:rPr>
          <w:b/>
          <w:sz w:val="22"/>
        </w:rPr>
        <w:tab/>
        <w:t xml:space="preserve">(A) </w:t>
      </w:r>
      <w:r>
        <w:rPr>
          <w:sz w:val="22"/>
        </w:rPr>
        <w:t>Any notice or other communication to be given (</w:t>
      </w:r>
      <w:proofErr w:type="spellStart"/>
      <w:r>
        <w:rPr>
          <w:sz w:val="22"/>
        </w:rPr>
        <w:t>i</w:t>
      </w:r>
      <w:proofErr w:type="spellEnd"/>
      <w:r>
        <w:rPr>
          <w:sz w:val="22"/>
        </w:rPr>
        <w:t>) by one Party to the other Party and/or the User, or (ii) by the User to one or both the Parties, under, or in connection with, this Guarantee shall be in writing and signed by or on behalf of the Party giving it or the User, as the case may be.</w:t>
      </w:r>
      <w:proofErr w:type="gramEnd"/>
      <w:r>
        <w:rPr>
          <w:sz w:val="22"/>
        </w:rPr>
        <w:t xml:space="preserve"> </w:t>
      </w:r>
      <w:proofErr w:type="gramStart"/>
      <w:r>
        <w:rPr>
          <w:sz w:val="22"/>
        </w:rPr>
        <w:t xml:space="preserve">It shall be served by sending it by fax to the number set out in Section </w:t>
      </w:r>
      <w:r w:rsidRPr="00621330">
        <w:rPr>
          <w:sz w:val="22"/>
        </w:rPr>
        <w:t>12 (B),</w:t>
      </w:r>
      <w:r>
        <w:rPr>
          <w:sz w:val="22"/>
        </w:rPr>
        <w:t xml:space="preserve"> or sending it by pre</w:t>
      </w:r>
      <w:r>
        <w:rPr>
          <w:sz w:val="22"/>
        </w:rPr>
        <w:noBreakHyphen/>
        <w:t>paid recorded delivery, special delivery or registered post, to the address(</w:t>
      </w:r>
      <w:proofErr w:type="spellStart"/>
      <w:r>
        <w:rPr>
          <w:sz w:val="22"/>
        </w:rPr>
        <w:t>es</w:t>
      </w:r>
      <w:proofErr w:type="spellEnd"/>
      <w:r>
        <w:rPr>
          <w:sz w:val="22"/>
        </w:rPr>
        <w:t>) set out in Section 12 (B) and in each case marked for the attention of the relevant recipient set out in Section 12 (B) (or as otherwise notified from time to time in accordance with the provisions of this Section 12).</w:t>
      </w:r>
      <w:proofErr w:type="gramEnd"/>
      <w:r>
        <w:rPr>
          <w:sz w:val="22"/>
        </w:rPr>
        <w:t xml:space="preserve"> Any notice so served by fax or post </w:t>
      </w:r>
      <w:proofErr w:type="gramStart"/>
      <w:r>
        <w:rPr>
          <w:sz w:val="22"/>
        </w:rPr>
        <w:t>shall be deemed to have been duly given</w:t>
      </w:r>
      <w:proofErr w:type="gramEnd"/>
      <w:r>
        <w:rPr>
          <w:sz w:val="22"/>
        </w:rPr>
        <w:t>:</w:t>
      </w:r>
    </w:p>
    <w:p w:rsidR="00A83EDB" w:rsidRDefault="00A83EDB" w:rsidP="00A83EDB">
      <w:pPr>
        <w:numPr>
          <w:ilvl w:val="0"/>
          <w:numId w:val="6"/>
        </w:numPr>
        <w:spacing w:after="240"/>
        <w:ind w:left="1276"/>
        <w:jc w:val="both"/>
        <w:rPr>
          <w:sz w:val="22"/>
        </w:rPr>
      </w:pPr>
      <w:r>
        <w:rPr>
          <w:sz w:val="22"/>
        </w:rPr>
        <w:t>in the case of fax, at the time of transmission as indicated in the transmission report; or</w:t>
      </w:r>
    </w:p>
    <w:p w:rsidR="00A83EDB" w:rsidRDefault="00A83EDB" w:rsidP="00A83EDB">
      <w:pPr>
        <w:numPr>
          <w:ilvl w:val="0"/>
          <w:numId w:val="6"/>
        </w:numPr>
        <w:spacing w:after="240"/>
        <w:ind w:left="1276"/>
        <w:jc w:val="both"/>
        <w:rPr>
          <w:sz w:val="22"/>
        </w:rPr>
      </w:pPr>
      <w:r>
        <w:rPr>
          <w:sz w:val="22"/>
        </w:rPr>
        <w:t>in the case of prepaid recorded delivery, special delivery or registered post, at the date indicated in the receipt of delivery,</w:t>
      </w:r>
    </w:p>
    <w:p w:rsidR="00A83EDB" w:rsidRDefault="00A83EDB" w:rsidP="00A83EDB">
      <w:pPr>
        <w:spacing w:after="240"/>
        <w:ind w:left="709"/>
        <w:jc w:val="both"/>
        <w:rPr>
          <w:sz w:val="22"/>
          <w:lang w:val="en-US"/>
        </w:rPr>
      </w:pPr>
      <w:r>
        <w:rPr>
          <w:sz w:val="22"/>
        </w:rPr>
        <w:t>provided that in each case where delivery by hand or by fax occurs after 6pm on a Business Day or on a day which is not a Business Day, service shall be deemed to occur at 9am on the following Business Day.</w:t>
      </w:r>
    </w:p>
    <w:p w:rsidR="00A83EDB" w:rsidRDefault="00A83EDB" w:rsidP="00A83EDB">
      <w:pPr>
        <w:spacing w:after="240"/>
        <w:ind w:left="720"/>
        <w:jc w:val="both"/>
        <w:rPr>
          <w:sz w:val="22"/>
        </w:rPr>
      </w:pPr>
      <w:r>
        <w:rPr>
          <w:sz w:val="22"/>
        </w:rPr>
        <w:t>Any references to time in this article are to local time in the country of the addressee.</w:t>
      </w:r>
    </w:p>
    <w:p w:rsidR="00A83EDB" w:rsidRDefault="00A83EDB" w:rsidP="00A83EDB">
      <w:pPr>
        <w:ind w:left="709"/>
        <w:jc w:val="both"/>
        <w:rPr>
          <w:sz w:val="22"/>
        </w:rPr>
      </w:pPr>
      <w:r>
        <w:rPr>
          <w:b/>
          <w:sz w:val="22"/>
        </w:rPr>
        <w:t xml:space="preserve">(B) </w:t>
      </w:r>
      <w:r>
        <w:rPr>
          <w:sz w:val="22"/>
        </w:rPr>
        <w:t>The addresses and fax numbers of the Parties and the User for the purpose of Section 12 (A) are as follows:</w:t>
      </w:r>
    </w:p>
    <w:p w:rsidR="00A83EDB" w:rsidRDefault="00A83EDB" w:rsidP="00A83EDB">
      <w:pPr>
        <w:jc w:val="both"/>
        <w:rPr>
          <w:b/>
          <w:sz w:val="22"/>
        </w:rPr>
      </w:pPr>
    </w:p>
    <w:p w:rsidR="00A83EDB" w:rsidRPr="007D3937" w:rsidRDefault="00A83EDB" w:rsidP="00A83EDB">
      <w:pPr>
        <w:pStyle w:val="Heading5"/>
        <w:numPr>
          <w:ilvl w:val="0"/>
          <w:numId w:val="0"/>
        </w:numPr>
        <w:ind w:firstLine="709"/>
        <w:jc w:val="both"/>
        <w:rPr>
          <w:sz w:val="22"/>
          <w:lang w:val="it-IT"/>
        </w:rPr>
      </w:pPr>
      <w:r w:rsidRPr="007D3937">
        <w:rPr>
          <w:sz w:val="22"/>
          <w:lang w:val="it-IT"/>
        </w:rPr>
        <w:t>Operating Company</w:t>
      </w:r>
    </w:p>
    <w:p w:rsidR="00A83EDB" w:rsidRPr="007D3937" w:rsidRDefault="00A83EDB" w:rsidP="00A83EDB">
      <w:pPr>
        <w:rPr>
          <w:rFonts w:eastAsia="Arial Unicode MS"/>
          <w:lang w:val="it-IT"/>
        </w:rPr>
      </w:pPr>
      <w:r w:rsidRPr="007D3937">
        <w:rPr>
          <w:rFonts w:eastAsia="Arial Unicode MS"/>
          <w:lang w:val="it-IT"/>
        </w:rPr>
        <w:tab/>
      </w:r>
      <w:r w:rsidRPr="007D3937">
        <w:rPr>
          <w:lang w:val="it-IT"/>
        </w:rPr>
        <w:t>Terminale GNL Adriatico S.r.l.</w:t>
      </w:r>
    </w:p>
    <w:p w:rsidR="00A83EDB" w:rsidRPr="007D3937" w:rsidRDefault="00A83EDB" w:rsidP="00A83EDB">
      <w:pPr>
        <w:ind w:left="709"/>
        <w:jc w:val="both"/>
        <w:rPr>
          <w:sz w:val="22"/>
          <w:lang w:val="it-IT"/>
        </w:rPr>
      </w:pPr>
      <w:proofErr w:type="spellStart"/>
      <w:r w:rsidRPr="007D3937">
        <w:rPr>
          <w:sz w:val="22"/>
          <w:lang w:val="it-IT"/>
        </w:rPr>
        <w:t>Address</w:t>
      </w:r>
      <w:proofErr w:type="spellEnd"/>
      <w:r w:rsidRPr="007D3937">
        <w:rPr>
          <w:sz w:val="22"/>
          <w:lang w:val="it-IT"/>
        </w:rPr>
        <w:t>: via Santa Radegonda 8, 20121 Milano</w:t>
      </w:r>
    </w:p>
    <w:p w:rsidR="00A83EDB" w:rsidRPr="00527187" w:rsidRDefault="00A83EDB" w:rsidP="00A83EDB">
      <w:pPr>
        <w:ind w:left="709"/>
        <w:jc w:val="both"/>
        <w:rPr>
          <w:sz w:val="22"/>
        </w:rPr>
      </w:pPr>
      <w:r w:rsidRPr="00527187">
        <w:rPr>
          <w:sz w:val="22"/>
        </w:rPr>
        <w:t>Tel.: +39 02636981</w:t>
      </w:r>
    </w:p>
    <w:p w:rsidR="00A83EDB" w:rsidRDefault="00A83EDB" w:rsidP="00A83EDB">
      <w:pPr>
        <w:ind w:left="709"/>
        <w:jc w:val="both"/>
        <w:rPr>
          <w:sz w:val="22"/>
        </w:rPr>
      </w:pPr>
      <w:r>
        <w:rPr>
          <w:sz w:val="22"/>
        </w:rPr>
        <w:t>Fax: +39 02.</w:t>
      </w:r>
      <w:r w:rsidRPr="00740828">
        <w:t xml:space="preserve"> </w:t>
      </w:r>
      <w:r w:rsidRPr="00740828">
        <w:rPr>
          <w:sz w:val="22"/>
        </w:rPr>
        <w:t>44386377</w:t>
      </w:r>
    </w:p>
    <w:p w:rsidR="00A83EDB" w:rsidRDefault="00A83EDB" w:rsidP="00A83EDB">
      <w:pPr>
        <w:ind w:left="709"/>
        <w:jc w:val="both"/>
        <w:rPr>
          <w:sz w:val="22"/>
        </w:rPr>
      </w:pPr>
      <w:r>
        <w:rPr>
          <w:sz w:val="22"/>
        </w:rPr>
        <w:t>For the attention of: [_______________]</w:t>
      </w:r>
    </w:p>
    <w:p w:rsidR="00A83EDB" w:rsidRDefault="00A83EDB" w:rsidP="00A83EDB">
      <w:pPr>
        <w:ind w:left="709"/>
        <w:jc w:val="both"/>
        <w:rPr>
          <w:b/>
          <w:sz w:val="22"/>
        </w:rPr>
      </w:pPr>
    </w:p>
    <w:p w:rsidR="00A83EDB" w:rsidRDefault="00A83EDB" w:rsidP="00A83EDB">
      <w:pPr>
        <w:ind w:left="709"/>
        <w:jc w:val="both"/>
        <w:rPr>
          <w:sz w:val="22"/>
        </w:rPr>
      </w:pPr>
      <w:r>
        <w:rPr>
          <w:b/>
          <w:sz w:val="22"/>
        </w:rPr>
        <w:t>[</w:t>
      </w:r>
      <w:r>
        <w:rPr>
          <w:b/>
          <w:i/>
          <w:sz w:val="22"/>
        </w:rPr>
        <w:t>Guarantor</w:t>
      </w:r>
      <w:r>
        <w:rPr>
          <w:sz w:val="22"/>
        </w:rPr>
        <w:t>]</w:t>
      </w:r>
    </w:p>
    <w:p w:rsidR="00A83EDB" w:rsidRDefault="00A83EDB" w:rsidP="00A83EDB">
      <w:pPr>
        <w:ind w:left="709"/>
        <w:jc w:val="both"/>
        <w:rPr>
          <w:sz w:val="22"/>
        </w:rPr>
      </w:pPr>
      <w:r>
        <w:rPr>
          <w:sz w:val="22"/>
        </w:rPr>
        <w:t>Address:</w:t>
      </w:r>
    </w:p>
    <w:p w:rsidR="00A83EDB" w:rsidRDefault="00A83EDB" w:rsidP="00A83EDB">
      <w:pPr>
        <w:ind w:left="709"/>
        <w:jc w:val="both"/>
        <w:rPr>
          <w:i/>
          <w:sz w:val="22"/>
          <w:u w:val="words"/>
        </w:rPr>
      </w:pPr>
      <w:r>
        <w:rPr>
          <w:sz w:val="22"/>
        </w:rPr>
        <w:t>Tel.:</w:t>
      </w:r>
    </w:p>
    <w:p w:rsidR="00A83EDB" w:rsidRDefault="00A83EDB" w:rsidP="00A83EDB">
      <w:pPr>
        <w:ind w:left="709"/>
        <w:jc w:val="both"/>
        <w:rPr>
          <w:sz w:val="22"/>
        </w:rPr>
      </w:pPr>
      <w:r>
        <w:rPr>
          <w:sz w:val="22"/>
        </w:rPr>
        <w:t>Fax:</w:t>
      </w:r>
    </w:p>
    <w:p w:rsidR="00A83EDB" w:rsidRDefault="00A83EDB" w:rsidP="00A83EDB">
      <w:pPr>
        <w:ind w:left="709"/>
        <w:jc w:val="both"/>
        <w:rPr>
          <w:sz w:val="22"/>
        </w:rPr>
      </w:pPr>
      <w:r>
        <w:rPr>
          <w:sz w:val="22"/>
        </w:rPr>
        <w:t>For the attention of:</w:t>
      </w:r>
    </w:p>
    <w:p w:rsidR="00A83EDB" w:rsidRDefault="00A83EDB" w:rsidP="00A83EDB">
      <w:pPr>
        <w:ind w:left="709"/>
        <w:jc w:val="both"/>
        <w:rPr>
          <w:sz w:val="22"/>
        </w:rPr>
      </w:pPr>
    </w:p>
    <w:p w:rsidR="00A83EDB" w:rsidRDefault="00A83EDB" w:rsidP="00A83EDB">
      <w:pPr>
        <w:ind w:left="709"/>
        <w:jc w:val="both"/>
        <w:rPr>
          <w:sz w:val="22"/>
        </w:rPr>
      </w:pPr>
      <w:r>
        <w:rPr>
          <w:b/>
          <w:sz w:val="22"/>
        </w:rPr>
        <w:t>[</w:t>
      </w:r>
      <w:r>
        <w:rPr>
          <w:b/>
          <w:i/>
          <w:sz w:val="22"/>
        </w:rPr>
        <w:t>User</w:t>
      </w:r>
      <w:r>
        <w:rPr>
          <w:sz w:val="22"/>
        </w:rPr>
        <w:t>]</w:t>
      </w:r>
    </w:p>
    <w:p w:rsidR="00A83EDB" w:rsidRDefault="00A83EDB" w:rsidP="00A83EDB">
      <w:pPr>
        <w:ind w:left="709"/>
        <w:jc w:val="both"/>
        <w:rPr>
          <w:sz w:val="22"/>
        </w:rPr>
      </w:pPr>
      <w:r>
        <w:rPr>
          <w:sz w:val="22"/>
        </w:rPr>
        <w:t>Address:</w:t>
      </w:r>
    </w:p>
    <w:p w:rsidR="00A83EDB" w:rsidRDefault="00A83EDB" w:rsidP="00A83EDB">
      <w:pPr>
        <w:ind w:left="709"/>
        <w:jc w:val="both"/>
        <w:rPr>
          <w:sz w:val="22"/>
        </w:rPr>
      </w:pPr>
      <w:r>
        <w:rPr>
          <w:sz w:val="22"/>
        </w:rPr>
        <w:t>Tel.:</w:t>
      </w:r>
    </w:p>
    <w:p w:rsidR="00A83EDB" w:rsidRDefault="00A83EDB" w:rsidP="00A83EDB">
      <w:pPr>
        <w:ind w:left="709"/>
        <w:jc w:val="both"/>
        <w:rPr>
          <w:sz w:val="22"/>
        </w:rPr>
      </w:pPr>
      <w:r>
        <w:rPr>
          <w:sz w:val="22"/>
        </w:rPr>
        <w:t>Fax:</w:t>
      </w:r>
    </w:p>
    <w:p w:rsidR="00A83EDB" w:rsidRDefault="00A83EDB" w:rsidP="00A83EDB">
      <w:pPr>
        <w:ind w:left="709"/>
        <w:jc w:val="both"/>
        <w:rPr>
          <w:sz w:val="22"/>
        </w:rPr>
      </w:pPr>
      <w:r>
        <w:rPr>
          <w:sz w:val="22"/>
        </w:rPr>
        <w:t>For the attention of:</w:t>
      </w:r>
    </w:p>
    <w:p w:rsidR="00A83EDB" w:rsidRDefault="00A83EDB" w:rsidP="00A83EDB">
      <w:pPr>
        <w:ind w:left="709"/>
        <w:jc w:val="both"/>
        <w:rPr>
          <w:sz w:val="22"/>
        </w:rPr>
      </w:pPr>
    </w:p>
    <w:p w:rsidR="00A83EDB" w:rsidRDefault="00A83EDB" w:rsidP="00A83EDB">
      <w:pPr>
        <w:pStyle w:val="BodyTextIndent2"/>
        <w:tabs>
          <w:tab w:val="left" w:pos="708"/>
        </w:tabs>
        <w:ind w:left="714" w:firstLine="6"/>
        <w:rPr>
          <w:sz w:val="22"/>
        </w:rPr>
      </w:pPr>
      <w:r>
        <w:rPr>
          <w:b/>
          <w:sz w:val="22"/>
        </w:rPr>
        <w:t xml:space="preserve">(C) </w:t>
      </w:r>
      <w:r>
        <w:rPr>
          <w:sz w:val="22"/>
        </w:rPr>
        <w:t>A Party may notify the other Party and the User, and the User may notify the Parties, of a change to its name, relevant addressee, address or fax number for the purposes of this Section 12, provided that, such notice shall only be effective on:</w:t>
      </w:r>
    </w:p>
    <w:p w:rsidR="00A83EDB" w:rsidRDefault="00A83EDB" w:rsidP="00A83EDB">
      <w:pPr>
        <w:pStyle w:val="BodyTextIndent2"/>
        <w:tabs>
          <w:tab w:val="left" w:pos="708"/>
        </w:tabs>
        <w:rPr>
          <w:sz w:val="22"/>
        </w:rPr>
      </w:pPr>
    </w:p>
    <w:p w:rsidR="00A83EDB" w:rsidRDefault="00A83EDB" w:rsidP="00A83EDB">
      <w:pPr>
        <w:spacing w:after="240"/>
        <w:ind w:left="1276" w:hanging="556"/>
        <w:jc w:val="both"/>
        <w:rPr>
          <w:sz w:val="22"/>
        </w:rPr>
      </w:pPr>
      <w:r>
        <w:rPr>
          <w:sz w:val="22"/>
        </w:rPr>
        <w:t>(a)</w:t>
      </w:r>
      <w:r>
        <w:rPr>
          <w:sz w:val="22"/>
        </w:rPr>
        <w:tab/>
      </w:r>
      <w:proofErr w:type="gramStart"/>
      <w:r>
        <w:rPr>
          <w:sz w:val="22"/>
        </w:rPr>
        <w:t>the</w:t>
      </w:r>
      <w:proofErr w:type="gramEnd"/>
      <w:r>
        <w:rPr>
          <w:sz w:val="22"/>
        </w:rPr>
        <w:t xml:space="preserve"> date specified in the notice as the date on which the change is to take place; or</w:t>
      </w:r>
    </w:p>
    <w:p w:rsidR="00A83EDB" w:rsidRDefault="00A83EDB" w:rsidP="00A83EDB">
      <w:pPr>
        <w:pStyle w:val="BodyTextIndent3"/>
        <w:ind w:left="1276"/>
        <w:rPr>
          <w:sz w:val="22"/>
        </w:rPr>
      </w:pPr>
      <w:r>
        <w:rPr>
          <w:sz w:val="22"/>
        </w:rPr>
        <w:t>(b)</w:t>
      </w:r>
      <w:r>
        <w:rPr>
          <w:sz w:val="22"/>
        </w:rPr>
        <w:tab/>
      </w:r>
      <w:proofErr w:type="gramStart"/>
      <w:r>
        <w:rPr>
          <w:sz w:val="22"/>
        </w:rPr>
        <w:t>if</w:t>
      </w:r>
      <w:proofErr w:type="gramEnd"/>
      <w:r>
        <w:rPr>
          <w:sz w:val="22"/>
        </w:rPr>
        <w:t xml:space="preserve"> no date is specified or the date specified is less than five (5) Business Days after the date on which notice is given, the date following ten (10) Business Days after notice of any change has been given.</w:t>
      </w:r>
    </w:p>
    <w:p w:rsidR="00A83EDB" w:rsidRDefault="00A83EDB" w:rsidP="00A83EDB">
      <w:pPr>
        <w:ind w:left="709" w:hanging="709"/>
        <w:jc w:val="both"/>
        <w:rPr>
          <w:sz w:val="22"/>
        </w:rPr>
      </w:pPr>
    </w:p>
    <w:p w:rsidR="00A83EDB" w:rsidRDefault="00A83EDB" w:rsidP="00A83EDB">
      <w:pPr>
        <w:ind w:left="709" w:hanging="709"/>
        <w:jc w:val="both"/>
        <w:rPr>
          <w:sz w:val="22"/>
        </w:rPr>
      </w:pPr>
      <w:r>
        <w:rPr>
          <w:b/>
          <w:sz w:val="22"/>
        </w:rPr>
        <w:t>13.</w:t>
      </w:r>
      <w:r>
        <w:rPr>
          <w:b/>
          <w:sz w:val="22"/>
        </w:rPr>
        <w:tab/>
      </w:r>
      <w:r>
        <w:rPr>
          <w:sz w:val="22"/>
        </w:rPr>
        <w:t xml:space="preserve">This Guarantee, including any Demand hereunder, </w:t>
      </w:r>
      <w:proofErr w:type="gramStart"/>
      <w:r>
        <w:rPr>
          <w:sz w:val="22"/>
        </w:rPr>
        <w:t>shall be governed by and construed in accordance with the laws of Italy</w:t>
      </w:r>
      <w:proofErr w:type="gramEnd"/>
      <w:r>
        <w:rPr>
          <w:sz w:val="22"/>
        </w:rPr>
        <w:t xml:space="preserve"> and any dispute arising out of or in connection with this Guarantee shall be subject to the Italian jurisdiction and to the exclusive competence of the Courts of Milan. For the purpose of proceedings (including </w:t>
      </w:r>
      <w:proofErr w:type="gramStart"/>
      <w:r>
        <w:rPr>
          <w:sz w:val="22"/>
        </w:rPr>
        <w:t>for the purpose of</w:t>
      </w:r>
      <w:proofErr w:type="gramEnd"/>
      <w:r>
        <w:rPr>
          <w:sz w:val="22"/>
        </w:rPr>
        <w:t xml:space="preserve"> receiving service of process), the Guarantor elects domicile in Milan at the following address [</w:t>
      </w:r>
      <w:r>
        <w:rPr>
          <w:i/>
          <w:sz w:val="22"/>
        </w:rPr>
        <w:t>insert address</w:t>
      </w:r>
      <w:r>
        <w:rPr>
          <w:sz w:val="22"/>
        </w:rPr>
        <w:t>].</w:t>
      </w:r>
    </w:p>
    <w:p w:rsidR="00A83EDB" w:rsidRDefault="00A83EDB" w:rsidP="00A83EDB">
      <w:pPr>
        <w:ind w:left="1418" w:hanging="709"/>
        <w:jc w:val="both"/>
        <w:rPr>
          <w:sz w:val="22"/>
        </w:rPr>
      </w:pPr>
    </w:p>
    <w:p w:rsidR="00A83EDB" w:rsidRDefault="00A83EDB" w:rsidP="00A83EDB">
      <w:pPr>
        <w:jc w:val="both"/>
        <w:rPr>
          <w:sz w:val="22"/>
        </w:rPr>
      </w:pPr>
      <w:r>
        <w:rPr>
          <w:sz w:val="22"/>
        </w:rPr>
        <w:t>Yours faithfully,</w:t>
      </w:r>
    </w:p>
    <w:p w:rsidR="00A83EDB" w:rsidRDefault="00A83EDB" w:rsidP="00A83EDB">
      <w:pPr>
        <w:ind w:left="1418" w:hanging="709"/>
        <w:jc w:val="both"/>
        <w:rPr>
          <w:sz w:val="22"/>
        </w:rPr>
      </w:pPr>
    </w:p>
    <w:p w:rsidR="00A83EDB" w:rsidRDefault="00A83EDB" w:rsidP="00A83EDB">
      <w:pPr>
        <w:jc w:val="both"/>
        <w:rPr>
          <w:sz w:val="22"/>
        </w:rPr>
      </w:pPr>
      <w:r>
        <w:rPr>
          <w:sz w:val="22"/>
        </w:rPr>
        <w:t>_________________</w:t>
      </w:r>
    </w:p>
    <w:p w:rsidR="00A83EDB" w:rsidRDefault="00A83EDB" w:rsidP="00A83EDB">
      <w:pPr>
        <w:pStyle w:val="Footer"/>
        <w:tabs>
          <w:tab w:val="left" w:pos="708"/>
        </w:tabs>
        <w:jc w:val="both"/>
        <w:rPr>
          <w:sz w:val="22"/>
        </w:rPr>
      </w:pPr>
      <w:r>
        <w:rPr>
          <w:sz w:val="22"/>
        </w:rPr>
        <w:t>(The Guarantor)</w:t>
      </w:r>
    </w:p>
    <w:p w:rsidR="00A83EDB" w:rsidRDefault="00A83EDB" w:rsidP="00A83EDB">
      <w:pPr>
        <w:pStyle w:val="Footer"/>
        <w:tabs>
          <w:tab w:val="left" w:pos="708"/>
        </w:tabs>
        <w:rPr>
          <w:sz w:val="22"/>
        </w:rPr>
      </w:pPr>
    </w:p>
    <w:p w:rsidR="00A83EDB" w:rsidRDefault="00A83EDB" w:rsidP="00A83EDB">
      <w:pPr>
        <w:pStyle w:val="Footer"/>
        <w:tabs>
          <w:tab w:val="left" w:pos="708"/>
        </w:tabs>
        <w:rPr>
          <w:sz w:val="22"/>
        </w:rPr>
      </w:pPr>
    </w:p>
    <w:p w:rsidR="00A83EDB" w:rsidRDefault="00A83EDB" w:rsidP="00A83EDB">
      <w:pPr>
        <w:jc w:val="both"/>
      </w:pPr>
      <w:r w:rsidRPr="00B514AC">
        <w:t xml:space="preserve">The </w:t>
      </w:r>
      <w:r>
        <w:t>Guarantor</w:t>
      </w:r>
      <w:r w:rsidRPr="00B514AC">
        <w:t>, hereby, unconditionally approves, pursuant to and for the purposes of, articles 1341 and 1342 of the Italian Civil Co</w:t>
      </w:r>
      <w:r>
        <w:t>de, the following clauses of this</w:t>
      </w:r>
      <w:r w:rsidRPr="00B514AC">
        <w:t xml:space="preserve"> </w:t>
      </w:r>
      <w:r>
        <w:t>First Demand Guarantee</w:t>
      </w:r>
      <w:r w:rsidRPr="00B514AC">
        <w:t>:</w:t>
      </w:r>
    </w:p>
    <w:p w:rsidR="00A83EDB" w:rsidRDefault="00A83EDB" w:rsidP="00A83EDB">
      <w:pPr>
        <w:jc w:val="both"/>
      </w:pPr>
    </w:p>
    <w:p w:rsidR="00A83EDB" w:rsidRPr="003D318D" w:rsidRDefault="00A83EDB" w:rsidP="00A83EDB">
      <w:pPr>
        <w:jc w:val="both"/>
        <w:rPr>
          <w:lang w:val="fr-FR"/>
        </w:rPr>
      </w:pPr>
      <w:r w:rsidRPr="003D318D">
        <w:rPr>
          <w:lang w:val="fr-FR"/>
        </w:rPr>
        <w:t>- article 1;</w:t>
      </w:r>
    </w:p>
    <w:p w:rsidR="00A83EDB" w:rsidRPr="003D318D" w:rsidRDefault="00A83EDB" w:rsidP="00A83EDB">
      <w:pPr>
        <w:jc w:val="both"/>
        <w:rPr>
          <w:lang w:val="fr-FR"/>
        </w:rPr>
      </w:pPr>
      <w:r w:rsidRPr="003D318D">
        <w:rPr>
          <w:lang w:val="fr-FR"/>
        </w:rPr>
        <w:t>- article 3;</w:t>
      </w:r>
    </w:p>
    <w:p w:rsidR="00A83EDB" w:rsidRPr="003D318D" w:rsidRDefault="00A83EDB" w:rsidP="00A83EDB">
      <w:pPr>
        <w:jc w:val="both"/>
        <w:rPr>
          <w:lang w:val="fr-FR"/>
        </w:rPr>
      </w:pPr>
      <w:r w:rsidRPr="003D318D">
        <w:rPr>
          <w:lang w:val="fr-FR"/>
        </w:rPr>
        <w:t>- article 4;</w:t>
      </w:r>
    </w:p>
    <w:p w:rsidR="00A83EDB" w:rsidRPr="003D318D" w:rsidRDefault="00A83EDB" w:rsidP="00A83EDB">
      <w:pPr>
        <w:jc w:val="both"/>
        <w:rPr>
          <w:lang w:val="fr-FR"/>
        </w:rPr>
      </w:pPr>
      <w:r w:rsidRPr="003D318D">
        <w:rPr>
          <w:lang w:val="fr-FR"/>
        </w:rPr>
        <w:t xml:space="preserve">- article </w:t>
      </w:r>
      <w:r>
        <w:rPr>
          <w:lang w:val="fr-FR"/>
        </w:rPr>
        <w:t>6 ;</w:t>
      </w:r>
    </w:p>
    <w:p w:rsidR="00A83EDB" w:rsidRDefault="00A83EDB" w:rsidP="00A83EDB">
      <w:pPr>
        <w:jc w:val="both"/>
        <w:rPr>
          <w:lang w:val="fr-FR"/>
        </w:rPr>
      </w:pPr>
      <w:r w:rsidRPr="003D318D">
        <w:rPr>
          <w:lang w:val="fr-FR"/>
        </w:rPr>
        <w:t>- article 8;</w:t>
      </w:r>
    </w:p>
    <w:p w:rsidR="00A83EDB" w:rsidRPr="009D3F37" w:rsidRDefault="00A83EDB" w:rsidP="00A83EDB">
      <w:pPr>
        <w:jc w:val="both"/>
      </w:pPr>
      <w:r w:rsidRPr="009D3F37">
        <w:t xml:space="preserve">- article </w:t>
      </w:r>
      <w:proofErr w:type="gramStart"/>
      <w:r w:rsidRPr="009D3F37">
        <w:t>9 ;</w:t>
      </w:r>
      <w:proofErr w:type="gramEnd"/>
    </w:p>
    <w:p w:rsidR="00A83EDB" w:rsidRPr="009D3F37" w:rsidRDefault="00A83EDB" w:rsidP="00A83EDB">
      <w:pPr>
        <w:jc w:val="both"/>
      </w:pPr>
      <w:r w:rsidRPr="009D3F37">
        <w:t xml:space="preserve">- article </w:t>
      </w:r>
      <w:proofErr w:type="gramStart"/>
      <w:r w:rsidRPr="009D3F37">
        <w:t>10 ;</w:t>
      </w:r>
      <w:proofErr w:type="gramEnd"/>
      <w:r w:rsidRPr="009D3F37">
        <w:t xml:space="preserve"> and</w:t>
      </w:r>
    </w:p>
    <w:p w:rsidR="00A83EDB" w:rsidRPr="009D3F37" w:rsidRDefault="00A83EDB" w:rsidP="00A83EDB">
      <w:pPr>
        <w:jc w:val="both"/>
      </w:pPr>
      <w:r w:rsidRPr="009D3F37">
        <w:t>- article 13</w:t>
      </w:r>
    </w:p>
    <w:p w:rsidR="00A83EDB" w:rsidRPr="009D3F37" w:rsidRDefault="00A83EDB" w:rsidP="00A83EDB">
      <w:pPr>
        <w:jc w:val="both"/>
      </w:pPr>
    </w:p>
    <w:p w:rsidR="00A83EDB" w:rsidRDefault="00A83EDB" w:rsidP="00A83EDB">
      <w:pPr>
        <w:jc w:val="both"/>
      </w:pPr>
      <w:r>
        <w:t>By:</w:t>
      </w:r>
    </w:p>
    <w:p w:rsidR="00A83EDB" w:rsidRPr="00B514AC" w:rsidRDefault="00A83EDB" w:rsidP="00A83EDB">
      <w:pPr>
        <w:jc w:val="both"/>
      </w:pPr>
      <w:r>
        <w:t>Title:</w:t>
      </w:r>
    </w:p>
    <w:p w:rsidR="00347206" w:rsidRDefault="00347206" w:rsidP="00A83EDB"/>
    <w:sectPr w:rsidR="00347206">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3EDB" w:rsidRDefault="00A83EDB" w:rsidP="00A83EDB">
      <w:r>
        <w:separator/>
      </w:r>
    </w:p>
  </w:endnote>
  <w:endnote w:type="continuationSeparator" w:id="0">
    <w:p w:rsidR="00A83EDB" w:rsidRDefault="00A83EDB" w:rsidP="00A83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3EDB" w:rsidRDefault="00A83EDB" w:rsidP="00A83EDB">
      <w:r>
        <w:separator/>
      </w:r>
    </w:p>
  </w:footnote>
  <w:footnote w:type="continuationSeparator" w:id="0">
    <w:p w:rsidR="00A83EDB" w:rsidRDefault="00A83EDB" w:rsidP="00A83EDB">
      <w:r>
        <w:continuationSeparator/>
      </w:r>
    </w:p>
  </w:footnote>
  <w:footnote w:id="1">
    <w:p w:rsidR="00A83EDB" w:rsidRDefault="00A83EDB" w:rsidP="00A83EDB">
      <w:pPr>
        <w:pStyle w:val="FootnoteText"/>
      </w:pPr>
      <w:r>
        <w:rPr>
          <w:rStyle w:val="FootnoteReference"/>
        </w:rPr>
        <w:footnoteRef/>
      </w:r>
      <w:r>
        <w:t xml:space="preserve"> Delete as appropriate.</w:t>
      </w:r>
    </w:p>
  </w:footnote>
  <w:footnote w:id="2">
    <w:p w:rsidR="00A83EDB" w:rsidRDefault="00A83EDB" w:rsidP="00A83EDB">
      <w:pPr>
        <w:jc w:val="both"/>
        <w:rPr>
          <w:sz w:val="20"/>
        </w:rPr>
      </w:pPr>
      <w:r>
        <w:rPr>
          <w:rStyle w:val="FootnoteReference"/>
        </w:rPr>
        <w:footnoteRef/>
      </w:r>
      <w:r>
        <w:rPr>
          <w:sz w:val="22"/>
        </w:rPr>
        <w:t xml:space="preserve"> </w:t>
      </w:r>
      <w:r w:rsidRPr="00F20265">
        <w:rPr>
          <w:sz w:val="20"/>
        </w:rPr>
        <w:t>I</w:t>
      </w:r>
      <w:r>
        <w:rPr>
          <w:sz w:val="20"/>
        </w:rPr>
        <w:t>nsert the amount calculated in accordance with the following formula:</w:t>
      </w:r>
    </w:p>
    <w:p w:rsidR="00A83EDB" w:rsidRPr="00B91599" w:rsidRDefault="00A83EDB" w:rsidP="00A83EDB">
      <w:pPr>
        <w:jc w:val="both"/>
        <w:rPr>
          <w:sz w:val="20"/>
          <w:lang w:val="en-US"/>
        </w:rPr>
      </w:pPr>
      <w:proofErr w:type="gramStart"/>
      <w:r w:rsidRPr="00826AF4">
        <w:rPr>
          <w:sz w:val="20"/>
          <w:lang w:val="en-US"/>
        </w:rPr>
        <w:t>a</w:t>
      </w:r>
      <w:proofErr w:type="gramEnd"/>
      <w:r w:rsidRPr="00826AF4">
        <w:rPr>
          <w:sz w:val="20"/>
          <w:lang w:val="en-US"/>
        </w:rPr>
        <w:t xml:space="preserve">) In case of Capacity subscription through an Infra-annual Capacity </w:t>
      </w:r>
      <w:r>
        <w:rPr>
          <w:sz w:val="20"/>
          <w:lang w:val="en-US"/>
        </w:rPr>
        <w:t>p</w:t>
      </w:r>
      <w:r w:rsidRPr="00826AF4">
        <w:rPr>
          <w:sz w:val="20"/>
          <w:lang w:val="en-US"/>
        </w:rPr>
        <w:t>rocedure pursuant to artic</w:t>
      </w:r>
      <w:r>
        <w:rPr>
          <w:sz w:val="20"/>
          <w:lang w:val="en-US"/>
        </w:rPr>
        <w:t>le</w:t>
      </w:r>
      <w:r w:rsidRPr="00826AF4">
        <w:rPr>
          <w:sz w:val="20"/>
          <w:lang w:val="en-US"/>
        </w:rPr>
        <w:t xml:space="preserve"> 2.4.2. </w:t>
      </w:r>
      <w:r w:rsidRPr="00826AF4">
        <w:rPr>
          <w:sz w:val="20"/>
        </w:rPr>
        <w:t>(b) α</w:t>
      </w:r>
      <w:r w:rsidRPr="00B91599">
        <w:rPr>
          <w:sz w:val="20"/>
          <w:lang w:val="en-US"/>
        </w:rPr>
        <w:t>)</w:t>
      </w:r>
      <w:r>
        <w:rPr>
          <w:sz w:val="20"/>
          <w:lang w:val="en-US"/>
        </w:rPr>
        <w:t xml:space="preserve"> of Chapter II</w:t>
      </w:r>
      <w:r w:rsidRPr="00B91599">
        <w:rPr>
          <w:sz w:val="20"/>
          <w:lang w:val="en-US"/>
        </w:rPr>
        <w:t>:</w:t>
      </w:r>
    </w:p>
    <w:p w:rsidR="00A83EDB" w:rsidRPr="007D3937" w:rsidRDefault="00A83EDB" w:rsidP="00A83EDB">
      <w:pPr>
        <w:jc w:val="both"/>
        <w:rPr>
          <w:sz w:val="20"/>
          <w:u w:val="single"/>
          <w:lang w:val="en-US"/>
        </w:rPr>
      </w:pPr>
      <w:r w:rsidRPr="00B91599">
        <w:rPr>
          <w:sz w:val="20"/>
          <w:lang w:val="en-US"/>
        </w:rPr>
        <w:t xml:space="preserve">I = </w:t>
      </w:r>
      <w:r w:rsidRPr="007D3937">
        <w:rPr>
          <w:sz w:val="20"/>
          <w:u w:val="single"/>
          <w:lang w:val="en-US"/>
        </w:rPr>
        <w:t xml:space="preserve">(P+ </w:t>
      </w:r>
      <w:proofErr w:type="spellStart"/>
      <w:r w:rsidRPr="007D3937">
        <w:rPr>
          <w:sz w:val="20"/>
          <w:u w:val="single"/>
          <w:lang w:val="en-US"/>
        </w:rPr>
        <w:t>Cets</w:t>
      </w:r>
      <w:proofErr w:type="spellEnd"/>
      <w:r w:rsidRPr="007D3937">
        <w:rPr>
          <w:sz w:val="20"/>
          <w:u w:val="single"/>
          <w:lang w:val="en-US"/>
        </w:rPr>
        <w:t xml:space="preserve">) x SC + (GCC ) </w:t>
      </w:r>
    </w:p>
    <w:p w:rsidR="00A83EDB" w:rsidRPr="00B91599" w:rsidRDefault="00A83EDB" w:rsidP="00A83EDB">
      <w:pPr>
        <w:jc w:val="both"/>
        <w:rPr>
          <w:sz w:val="20"/>
          <w:lang w:val="en-US"/>
        </w:rPr>
      </w:pPr>
      <w:r w:rsidRPr="00B91599">
        <w:rPr>
          <w:sz w:val="20"/>
          <w:lang w:val="en-US"/>
        </w:rPr>
        <w:t xml:space="preserve">           </w:t>
      </w:r>
      <w:r>
        <w:rPr>
          <w:sz w:val="20"/>
          <w:lang w:val="en-US"/>
        </w:rPr>
        <w:t xml:space="preserve">            </w:t>
      </w:r>
      <w:r w:rsidRPr="00B91599">
        <w:rPr>
          <w:sz w:val="20"/>
          <w:lang w:val="en-US"/>
        </w:rPr>
        <w:t>n</w:t>
      </w:r>
    </w:p>
    <w:p w:rsidR="00A83EDB" w:rsidRPr="00826AF4" w:rsidRDefault="00A83EDB" w:rsidP="00A83EDB">
      <w:pPr>
        <w:jc w:val="both"/>
        <w:rPr>
          <w:sz w:val="20"/>
          <w:lang w:val="en-US"/>
        </w:rPr>
      </w:pPr>
      <w:r w:rsidRPr="00826AF4">
        <w:rPr>
          <w:sz w:val="20"/>
          <w:lang w:val="en-US"/>
        </w:rPr>
        <w:t>Where:</w:t>
      </w:r>
    </w:p>
    <w:p w:rsidR="00A83EDB" w:rsidRPr="005C4F49" w:rsidRDefault="00A83EDB" w:rsidP="00A83EDB">
      <w:pPr>
        <w:jc w:val="both"/>
        <w:rPr>
          <w:sz w:val="20"/>
          <w:lang w:val="en-US"/>
        </w:rPr>
      </w:pPr>
      <w:r w:rsidRPr="005C4F49">
        <w:rPr>
          <w:sz w:val="20"/>
          <w:lang w:val="en-US"/>
        </w:rPr>
        <w:t xml:space="preserve">P = </w:t>
      </w:r>
      <w:r w:rsidRPr="005C4F49">
        <w:rPr>
          <w:i/>
          <w:sz w:val="20"/>
          <w:lang w:val="en-US"/>
        </w:rPr>
        <w:t>pay as bid</w:t>
      </w:r>
      <w:r w:rsidRPr="005C4F49">
        <w:rPr>
          <w:sz w:val="20"/>
          <w:lang w:val="en-US"/>
        </w:rPr>
        <w:t xml:space="preserve"> allocation price expressed in EUR / m3liq;</w:t>
      </w:r>
    </w:p>
    <w:p w:rsidR="00A83EDB" w:rsidRPr="00826AF4" w:rsidRDefault="00A83EDB" w:rsidP="00A83EDB">
      <w:pPr>
        <w:jc w:val="both"/>
        <w:rPr>
          <w:sz w:val="20"/>
          <w:lang w:val="en-US"/>
        </w:rPr>
      </w:pPr>
      <w:proofErr w:type="spellStart"/>
      <w:r w:rsidRPr="007D3937">
        <w:rPr>
          <w:sz w:val="20"/>
          <w:lang w:val="en-US"/>
        </w:rPr>
        <w:t>Cets</w:t>
      </w:r>
      <w:proofErr w:type="spellEnd"/>
      <w:r w:rsidRPr="007D3937">
        <w:rPr>
          <w:sz w:val="20"/>
          <w:lang w:val="en-US"/>
        </w:rPr>
        <w:t xml:space="preserve"> = the applicable </w:t>
      </w:r>
      <w:proofErr w:type="spellStart"/>
      <w:r w:rsidRPr="007D3937">
        <w:rPr>
          <w:sz w:val="20"/>
          <w:lang w:val="en-US"/>
        </w:rPr>
        <w:t>Cets</w:t>
      </w:r>
      <w:proofErr w:type="spellEnd"/>
      <w:r w:rsidRPr="007D3937">
        <w:rPr>
          <w:sz w:val="20"/>
          <w:lang w:val="en-US"/>
        </w:rPr>
        <w:t xml:space="preserve"> with reference to the Thermal Year or relevant period;</w:t>
      </w:r>
    </w:p>
    <w:p w:rsidR="00A83EDB" w:rsidRPr="00D13857" w:rsidRDefault="00A83EDB" w:rsidP="00A83EDB">
      <w:pPr>
        <w:jc w:val="both"/>
        <w:rPr>
          <w:sz w:val="20"/>
          <w:lang w:val="en-US"/>
        </w:rPr>
      </w:pPr>
      <w:r w:rsidRPr="00D13857">
        <w:rPr>
          <w:sz w:val="20"/>
          <w:lang w:val="en-US"/>
        </w:rPr>
        <w:t>n = 1 In case of a Guarantee issued pursuant to a Spot Capacity Contract; or in the case of a Guarantee issued pursuant to a Foundation Capacity Contract for one Unloading Slot;</w:t>
      </w:r>
    </w:p>
    <w:p w:rsidR="00A83EDB" w:rsidRPr="00B91599" w:rsidRDefault="00A83EDB" w:rsidP="00A83EDB">
      <w:pPr>
        <w:jc w:val="both"/>
        <w:rPr>
          <w:sz w:val="20"/>
          <w:lang w:val="en-US"/>
        </w:rPr>
      </w:pPr>
      <w:r w:rsidRPr="00B91599">
        <w:rPr>
          <w:sz w:val="20"/>
          <w:lang w:val="en-US"/>
        </w:rPr>
        <w:t>n = 2 In case of a Guarantee issued pursuant to a Spot Capacity Contract with two Unloading Slots; or in the case of a Guarantee issued pursuant to a Foundation Capacity Contract for two Unloading Slots;</w:t>
      </w:r>
    </w:p>
    <w:p w:rsidR="00A83EDB" w:rsidRPr="00B91599" w:rsidRDefault="00A83EDB" w:rsidP="00A83EDB">
      <w:pPr>
        <w:jc w:val="both"/>
        <w:rPr>
          <w:sz w:val="20"/>
          <w:lang w:val="en-US"/>
        </w:rPr>
      </w:pPr>
      <w:r w:rsidRPr="00B91599">
        <w:rPr>
          <w:sz w:val="20"/>
          <w:lang w:val="en-US"/>
        </w:rPr>
        <w:t>n= 3 In case of a Guarantee issued pursuant to a Spot Capacity Contract with three or more Unloading Slots; or in the case of a Guarantee issued pursuant to a Foundation Capacity Contract for three or more Unloading Slot;</w:t>
      </w:r>
    </w:p>
    <w:p w:rsidR="00A83EDB" w:rsidRPr="00B91599" w:rsidRDefault="00A83EDB" w:rsidP="00A83EDB">
      <w:pPr>
        <w:jc w:val="both"/>
        <w:rPr>
          <w:sz w:val="20"/>
          <w:lang w:val="en-US"/>
        </w:rPr>
      </w:pPr>
      <w:r w:rsidRPr="00B91599">
        <w:rPr>
          <w:sz w:val="20"/>
          <w:lang w:val="en-US"/>
        </w:rPr>
        <w:t>I = the amount</w:t>
      </w:r>
    </w:p>
    <w:p w:rsidR="00A83EDB" w:rsidRPr="00D13857" w:rsidRDefault="00A83EDB" w:rsidP="00A83EDB">
      <w:pPr>
        <w:jc w:val="both"/>
        <w:rPr>
          <w:sz w:val="20"/>
          <w:lang w:val="en-US"/>
        </w:rPr>
      </w:pPr>
      <w:r w:rsidRPr="00D13857">
        <w:rPr>
          <w:sz w:val="20"/>
          <w:lang w:val="en-US"/>
        </w:rPr>
        <w:t>SC = the amount of the Subscribed Capacity according to the relevant Capacity Contract</w:t>
      </w:r>
      <w:r>
        <w:rPr>
          <w:sz w:val="20"/>
          <w:lang w:val="en-US"/>
        </w:rPr>
        <w:t xml:space="preserve"> </w:t>
      </w:r>
      <w:r w:rsidRPr="00D13857">
        <w:rPr>
          <w:sz w:val="20"/>
          <w:lang w:val="en-US"/>
        </w:rPr>
        <w:t xml:space="preserve">with </w:t>
      </w:r>
      <w:r>
        <w:rPr>
          <w:sz w:val="20"/>
          <w:lang w:val="en-US"/>
        </w:rPr>
        <w:t>reference to the Thermal Year or the relevant period</w:t>
      </w:r>
      <w:r w:rsidRPr="00D13857">
        <w:rPr>
          <w:sz w:val="20"/>
          <w:lang w:val="en-US"/>
        </w:rPr>
        <w:t>;</w:t>
      </w:r>
    </w:p>
    <w:p w:rsidR="00A83EDB" w:rsidRPr="00D13857" w:rsidRDefault="00A83EDB" w:rsidP="00A83EDB">
      <w:pPr>
        <w:jc w:val="both"/>
        <w:rPr>
          <w:sz w:val="20"/>
          <w:lang w:val="en-US"/>
        </w:rPr>
      </w:pPr>
      <w:r w:rsidRPr="00D13857">
        <w:rPr>
          <w:sz w:val="20"/>
          <w:lang w:val="en-US"/>
        </w:rPr>
        <w:t xml:space="preserve">GCC = the proportional share of the aggregated </w:t>
      </w:r>
      <w:r>
        <w:rPr>
          <w:sz w:val="20"/>
          <w:lang w:val="en-US"/>
        </w:rPr>
        <w:t>Grid Charge</w:t>
      </w:r>
      <w:r w:rsidRPr="00D13857">
        <w:rPr>
          <w:sz w:val="20"/>
          <w:lang w:val="en-US"/>
        </w:rPr>
        <w:t xml:space="preserve"> related to the User with reference to the Thermal Year or </w:t>
      </w:r>
      <w:r>
        <w:rPr>
          <w:sz w:val="20"/>
          <w:lang w:val="en-US"/>
        </w:rPr>
        <w:t xml:space="preserve">the </w:t>
      </w:r>
      <w:r w:rsidRPr="00D13857">
        <w:rPr>
          <w:sz w:val="20"/>
          <w:lang w:val="en-US"/>
        </w:rPr>
        <w:t>relevant period</w:t>
      </w:r>
      <w:r>
        <w:rPr>
          <w:sz w:val="20"/>
          <w:lang w:val="en-US"/>
        </w:rPr>
        <w:t>;</w:t>
      </w:r>
    </w:p>
    <w:p w:rsidR="00A83EDB" w:rsidRPr="00CD1DA3" w:rsidRDefault="00A83EDB" w:rsidP="00A83EDB">
      <w:pPr>
        <w:jc w:val="both"/>
        <w:rPr>
          <w:sz w:val="20"/>
          <w:lang w:val="en-US"/>
        </w:rPr>
      </w:pPr>
      <w:r w:rsidRPr="00D13857">
        <w:rPr>
          <w:sz w:val="20"/>
          <w:lang w:val="en-US"/>
        </w:rPr>
        <w:t xml:space="preserve">b) In case of Capacity subscription through an </w:t>
      </w:r>
      <w:r>
        <w:rPr>
          <w:sz w:val="20"/>
          <w:lang w:val="en-US"/>
        </w:rPr>
        <w:t>A</w:t>
      </w:r>
      <w:r w:rsidRPr="00D13857">
        <w:rPr>
          <w:sz w:val="20"/>
          <w:lang w:val="en-US"/>
        </w:rPr>
        <w:t xml:space="preserve">nnual Capacity procedure pursuant to article 2.4.2. </w:t>
      </w:r>
      <w:r w:rsidRPr="00CD1DA3">
        <w:rPr>
          <w:sz w:val="20"/>
          <w:lang w:val="en-US"/>
        </w:rPr>
        <w:t xml:space="preserve">(a) </w:t>
      </w:r>
      <w:proofErr w:type="gramStart"/>
      <w:r w:rsidRPr="00CD1DA3">
        <w:rPr>
          <w:sz w:val="20"/>
          <w:lang w:val="en-US"/>
        </w:rPr>
        <w:t>of</w:t>
      </w:r>
      <w:proofErr w:type="gramEnd"/>
      <w:r w:rsidRPr="00CD1DA3">
        <w:rPr>
          <w:sz w:val="20"/>
          <w:lang w:val="en-US"/>
        </w:rPr>
        <w:t xml:space="preserve"> chapter II or in case of Capacity subscription </w:t>
      </w:r>
      <w:r>
        <w:rPr>
          <w:sz w:val="20"/>
          <w:lang w:val="en-US"/>
        </w:rPr>
        <w:t xml:space="preserve">through </w:t>
      </w:r>
      <w:r w:rsidRPr="00CD1DA3">
        <w:rPr>
          <w:sz w:val="20"/>
          <w:lang w:val="en-US"/>
        </w:rPr>
        <w:t xml:space="preserve">Spot </w:t>
      </w:r>
      <w:r>
        <w:rPr>
          <w:sz w:val="20"/>
          <w:lang w:val="en-US"/>
        </w:rPr>
        <w:t xml:space="preserve">Capacity procedure </w:t>
      </w:r>
      <w:r w:rsidRPr="00CD1DA3">
        <w:rPr>
          <w:sz w:val="20"/>
          <w:lang w:val="en-US"/>
        </w:rPr>
        <w:t>pursuant to articl</w:t>
      </w:r>
      <w:r>
        <w:rPr>
          <w:sz w:val="20"/>
          <w:lang w:val="en-US"/>
        </w:rPr>
        <w:t>e</w:t>
      </w:r>
      <w:r w:rsidRPr="00CD1DA3">
        <w:rPr>
          <w:sz w:val="20"/>
          <w:lang w:val="en-US"/>
        </w:rPr>
        <w:t xml:space="preserve"> 2.4.2. (b) </w:t>
      </w:r>
      <w:r w:rsidRPr="00826AF4">
        <w:rPr>
          <w:sz w:val="20"/>
        </w:rPr>
        <w:t>β</w:t>
      </w:r>
      <w:r w:rsidRPr="00CD1DA3">
        <w:rPr>
          <w:sz w:val="20"/>
          <w:lang w:val="en-US"/>
        </w:rPr>
        <w:t xml:space="preserve"> ) of chapter II (first come first served criteria):</w:t>
      </w:r>
    </w:p>
    <w:p w:rsidR="00A83EDB" w:rsidRPr="00B91599" w:rsidRDefault="00A83EDB" w:rsidP="00A83EDB">
      <w:pPr>
        <w:jc w:val="both"/>
        <w:rPr>
          <w:sz w:val="20"/>
          <w:lang w:val="en-US"/>
        </w:rPr>
      </w:pPr>
    </w:p>
    <w:p w:rsidR="00A83EDB" w:rsidRPr="00CC4192" w:rsidRDefault="00A83EDB" w:rsidP="00A83EDB">
      <w:pPr>
        <w:pStyle w:val="AODocTxt"/>
        <w:numPr>
          <w:ilvl w:val="0"/>
          <w:numId w:val="0"/>
        </w:numPr>
        <w:autoSpaceDE w:val="0"/>
        <w:autoSpaceDN w:val="0"/>
        <w:adjustRightInd w:val="0"/>
        <w:spacing w:before="100" w:beforeAutospacing="1" w:line="20" w:lineRule="atLeast"/>
        <w:ind w:left="1418" w:firstLine="709"/>
        <w:jc w:val="left"/>
        <w:rPr>
          <w:szCs w:val="22"/>
          <w:u w:val="single"/>
        </w:rPr>
      </w:pPr>
      <w:bookmarkStart w:id="25" w:name="_DV_C2533"/>
      <w:r w:rsidRPr="00CC4192">
        <w:rPr>
          <w:rStyle w:val="DeltaViewInsertion"/>
          <w:szCs w:val="22"/>
          <w:u w:val="single"/>
        </w:rPr>
        <w:t>I = (</w:t>
      </w:r>
      <w:proofErr w:type="spellStart"/>
      <w:r w:rsidRPr="00CC4192">
        <w:rPr>
          <w:rStyle w:val="DeltaViewInsertion"/>
          <w:szCs w:val="22"/>
          <w:u w:val="single"/>
        </w:rPr>
        <w:t>Cqs</w:t>
      </w:r>
      <w:proofErr w:type="spellEnd"/>
      <w:r>
        <w:rPr>
          <w:rStyle w:val="DeltaViewInsertion"/>
          <w:szCs w:val="22"/>
          <w:u w:val="single"/>
        </w:rPr>
        <w:t xml:space="preserve">+ </w:t>
      </w:r>
      <w:proofErr w:type="spellStart"/>
      <w:r>
        <w:rPr>
          <w:rStyle w:val="DeltaViewInsertion"/>
          <w:szCs w:val="22"/>
          <w:u w:val="single"/>
        </w:rPr>
        <w:t>Cets</w:t>
      </w:r>
      <w:proofErr w:type="spellEnd"/>
      <w:r>
        <w:rPr>
          <w:rStyle w:val="DeltaViewInsertion"/>
          <w:szCs w:val="22"/>
          <w:u w:val="single"/>
        </w:rPr>
        <w:t xml:space="preserve"> </w:t>
      </w:r>
      <w:r w:rsidRPr="00CC4192">
        <w:rPr>
          <w:rStyle w:val="DeltaViewInsertion"/>
          <w:szCs w:val="22"/>
          <w:u w:val="single"/>
        </w:rPr>
        <w:t xml:space="preserve">x SC) + GCC </w:t>
      </w:r>
      <w:bookmarkStart w:id="26" w:name="_DV_C2534"/>
      <w:bookmarkEnd w:id="25"/>
    </w:p>
    <w:p w:rsidR="00A83EDB" w:rsidRPr="000B3E99" w:rsidRDefault="00A83EDB" w:rsidP="00A83EDB">
      <w:pPr>
        <w:pStyle w:val="AODocTxtL2"/>
        <w:numPr>
          <w:ilvl w:val="0"/>
          <w:numId w:val="0"/>
        </w:numPr>
        <w:autoSpaceDE w:val="0"/>
        <w:autoSpaceDN w:val="0"/>
        <w:adjustRightInd w:val="0"/>
        <w:spacing w:before="100" w:beforeAutospacing="1" w:line="20" w:lineRule="atLeast"/>
        <w:ind w:left="2847" w:firstLine="698"/>
        <w:rPr>
          <w:szCs w:val="22"/>
          <w:lang w:val="en-US"/>
        </w:rPr>
      </w:pPr>
      <w:bookmarkStart w:id="27" w:name="_DV_C2535"/>
      <w:bookmarkEnd w:id="26"/>
      <w:r w:rsidRPr="000B3E99">
        <w:rPr>
          <w:rStyle w:val="DeltaViewInsertion"/>
          <w:szCs w:val="22"/>
          <w:lang w:val="en-US"/>
        </w:rPr>
        <w:t>n</w:t>
      </w:r>
      <w:bookmarkEnd w:id="27"/>
    </w:p>
    <w:p w:rsidR="00A83EDB" w:rsidRDefault="00A83EDB" w:rsidP="00A83EDB">
      <w:pPr>
        <w:ind w:left="708" w:hanging="708"/>
        <w:jc w:val="both"/>
        <w:rPr>
          <w:sz w:val="20"/>
        </w:rPr>
      </w:pPr>
      <w:r>
        <w:rPr>
          <w:sz w:val="20"/>
        </w:rPr>
        <w:t>Where:</w:t>
      </w:r>
    </w:p>
    <w:p w:rsidR="00A83EDB" w:rsidRDefault="00A83EDB" w:rsidP="00A83EDB">
      <w:pPr>
        <w:ind w:left="708" w:hanging="708"/>
        <w:jc w:val="both"/>
        <w:rPr>
          <w:sz w:val="20"/>
        </w:rPr>
      </w:pPr>
    </w:p>
    <w:p w:rsidR="00A83EDB" w:rsidRDefault="00A83EDB" w:rsidP="00A83EDB">
      <w:pPr>
        <w:tabs>
          <w:tab w:val="left" w:pos="1134"/>
        </w:tabs>
        <w:ind w:left="426" w:hanging="426"/>
        <w:jc w:val="both"/>
        <w:rPr>
          <w:sz w:val="20"/>
        </w:rPr>
      </w:pPr>
      <w:r>
        <w:rPr>
          <w:sz w:val="20"/>
        </w:rPr>
        <w:t xml:space="preserve">n=1 </w:t>
      </w:r>
      <w:r w:rsidRPr="00F20265">
        <w:rPr>
          <w:sz w:val="20"/>
        </w:rPr>
        <w:t>In the case of a guarantee issued pursuant to a Contract for Spot Capacity</w:t>
      </w:r>
      <w:r>
        <w:rPr>
          <w:sz w:val="20"/>
        </w:rPr>
        <w:t xml:space="preserve"> or i</w:t>
      </w:r>
      <w:r w:rsidRPr="00F20265">
        <w:rPr>
          <w:sz w:val="20"/>
        </w:rPr>
        <w:t>n the case o</w:t>
      </w:r>
      <w:r>
        <w:rPr>
          <w:sz w:val="20"/>
        </w:rPr>
        <w:t xml:space="preserve">f a guarantee issued </w:t>
      </w:r>
      <w:r w:rsidRPr="00F20265">
        <w:rPr>
          <w:sz w:val="20"/>
        </w:rPr>
        <w:t xml:space="preserve">pursuant to a </w:t>
      </w:r>
      <w:r>
        <w:rPr>
          <w:sz w:val="20"/>
        </w:rPr>
        <w:t>C</w:t>
      </w:r>
      <w:r w:rsidRPr="00F20265">
        <w:rPr>
          <w:sz w:val="20"/>
        </w:rPr>
        <w:t>ontract</w:t>
      </w:r>
      <w:r>
        <w:rPr>
          <w:sz w:val="20"/>
        </w:rPr>
        <w:t xml:space="preserve"> for Foundation or Non-Foundation C</w:t>
      </w:r>
      <w:r w:rsidRPr="00F20265">
        <w:rPr>
          <w:sz w:val="20"/>
        </w:rPr>
        <w:t>apacity</w:t>
      </w:r>
      <w:r>
        <w:rPr>
          <w:sz w:val="20"/>
        </w:rPr>
        <w:t xml:space="preserve"> related to one Unloading Slot</w:t>
      </w:r>
    </w:p>
    <w:p w:rsidR="00A83EDB" w:rsidRPr="00740828" w:rsidRDefault="00A83EDB" w:rsidP="00A83EDB">
      <w:pPr>
        <w:tabs>
          <w:tab w:val="left" w:pos="1134"/>
        </w:tabs>
        <w:ind w:left="426" w:hanging="426"/>
        <w:jc w:val="both"/>
        <w:rPr>
          <w:sz w:val="20"/>
        </w:rPr>
      </w:pPr>
      <w:r w:rsidRPr="00740828">
        <w:rPr>
          <w:sz w:val="20"/>
        </w:rPr>
        <w:t>n</w:t>
      </w:r>
      <w:r>
        <w:rPr>
          <w:sz w:val="20"/>
        </w:rPr>
        <w:t xml:space="preserve"> </w:t>
      </w:r>
      <w:r w:rsidRPr="00740828">
        <w:rPr>
          <w:sz w:val="20"/>
        </w:rPr>
        <w:t xml:space="preserve">=2 In the case of a guarantee </w:t>
      </w:r>
      <w:r>
        <w:rPr>
          <w:sz w:val="20"/>
        </w:rPr>
        <w:t xml:space="preserve">issued pursuant to a Contract for </w:t>
      </w:r>
      <w:r w:rsidRPr="00740828">
        <w:rPr>
          <w:sz w:val="20"/>
        </w:rPr>
        <w:t xml:space="preserve">Spot </w:t>
      </w:r>
      <w:r>
        <w:rPr>
          <w:sz w:val="20"/>
        </w:rPr>
        <w:t>Capacity related to two Unloading Slots</w:t>
      </w:r>
      <w:r w:rsidRPr="00740828">
        <w:rPr>
          <w:sz w:val="20"/>
        </w:rPr>
        <w:t>; o</w:t>
      </w:r>
      <w:r>
        <w:rPr>
          <w:sz w:val="20"/>
        </w:rPr>
        <w:t>r</w:t>
      </w:r>
      <w:r w:rsidRPr="00740828">
        <w:rPr>
          <w:sz w:val="20"/>
        </w:rPr>
        <w:t xml:space="preserve">  </w:t>
      </w:r>
      <w:r>
        <w:rPr>
          <w:sz w:val="20"/>
        </w:rPr>
        <w:t>i</w:t>
      </w:r>
      <w:r w:rsidRPr="00740828">
        <w:rPr>
          <w:sz w:val="20"/>
        </w:rPr>
        <w:t>n the case of a guarantee issued pursuant to a Contract for Foundation or Non-Foundation Capacity related to two Unloading Slots</w:t>
      </w:r>
    </w:p>
    <w:p w:rsidR="00A83EDB" w:rsidRPr="005C4F49" w:rsidRDefault="00A83EDB" w:rsidP="00A83EDB">
      <w:pPr>
        <w:tabs>
          <w:tab w:val="left" w:pos="1134"/>
        </w:tabs>
        <w:ind w:left="426" w:hanging="426"/>
        <w:jc w:val="both"/>
        <w:rPr>
          <w:sz w:val="20"/>
        </w:rPr>
      </w:pPr>
      <w:r>
        <w:rPr>
          <w:sz w:val="20"/>
        </w:rPr>
        <w:t xml:space="preserve">n =3 </w:t>
      </w:r>
      <w:r w:rsidRPr="00740828">
        <w:rPr>
          <w:sz w:val="20"/>
        </w:rPr>
        <w:t xml:space="preserve">In the case of a guarantee issued pursuant to a Contract for Spot Capacity related to </w:t>
      </w:r>
      <w:r>
        <w:rPr>
          <w:sz w:val="20"/>
        </w:rPr>
        <w:t>three or more</w:t>
      </w:r>
      <w:r w:rsidRPr="00740828">
        <w:rPr>
          <w:sz w:val="20"/>
        </w:rPr>
        <w:t xml:space="preserve"> Unloading Slots</w:t>
      </w:r>
      <w:r>
        <w:rPr>
          <w:sz w:val="20"/>
        </w:rPr>
        <w:t>; or</w:t>
      </w:r>
      <w:r w:rsidRPr="00740828">
        <w:rPr>
          <w:sz w:val="20"/>
        </w:rPr>
        <w:t xml:space="preserve"> </w:t>
      </w:r>
      <w:r>
        <w:rPr>
          <w:sz w:val="20"/>
        </w:rPr>
        <w:t>i</w:t>
      </w:r>
      <w:r w:rsidRPr="00F20265">
        <w:rPr>
          <w:sz w:val="20"/>
        </w:rPr>
        <w:t xml:space="preserve">n the case of a guarantee issued pursuant to a </w:t>
      </w:r>
      <w:r>
        <w:rPr>
          <w:sz w:val="20"/>
        </w:rPr>
        <w:t>C</w:t>
      </w:r>
      <w:r w:rsidRPr="00F20265">
        <w:rPr>
          <w:sz w:val="20"/>
        </w:rPr>
        <w:t>ontract</w:t>
      </w:r>
      <w:r>
        <w:rPr>
          <w:sz w:val="20"/>
        </w:rPr>
        <w:t xml:space="preserve"> for Foundation or Non-Foundation C</w:t>
      </w:r>
      <w:r w:rsidRPr="00F20265">
        <w:rPr>
          <w:sz w:val="20"/>
        </w:rPr>
        <w:t>apacity</w:t>
      </w:r>
      <w:r>
        <w:rPr>
          <w:sz w:val="20"/>
        </w:rPr>
        <w:t xml:space="preserve"> related to three or </w:t>
      </w:r>
      <w:r w:rsidRPr="005C4F49">
        <w:rPr>
          <w:sz w:val="20"/>
        </w:rPr>
        <w:t>more Unloading Slots</w:t>
      </w:r>
    </w:p>
    <w:p w:rsidR="00A83EDB" w:rsidRPr="00551386" w:rsidRDefault="00A83EDB" w:rsidP="00A83EDB">
      <w:pPr>
        <w:tabs>
          <w:tab w:val="left" w:pos="1134"/>
        </w:tabs>
        <w:ind w:left="2127" w:hanging="2127"/>
        <w:jc w:val="both"/>
        <w:rPr>
          <w:sz w:val="20"/>
        </w:rPr>
      </w:pPr>
      <w:r w:rsidRPr="00551386">
        <w:rPr>
          <w:sz w:val="20"/>
        </w:rPr>
        <w:t>I</w:t>
      </w:r>
      <w:r>
        <w:rPr>
          <w:sz w:val="20"/>
        </w:rPr>
        <w:t xml:space="preserve"> </w:t>
      </w:r>
      <w:r w:rsidRPr="00551386">
        <w:rPr>
          <w:sz w:val="20"/>
        </w:rPr>
        <w:t>=</w:t>
      </w:r>
      <w:r>
        <w:rPr>
          <w:sz w:val="20"/>
        </w:rPr>
        <w:t xml:space="preserve"> </w:t>
      </w:r>
      <w:r w:rsidRPr="00551386">
        <w:rPr>
          <w:sz w:val="20"/>
        </w:rPr>
        <w:t>the amount;</w:t>
      </w:r>
    </w:p>
    <w:p w:rsidR="00A83EDB" w:rsidRPr="00551386" w:rsidRDefault="00A83EDB" w:rsidP="00A83EDB">
      <w:pPr>
        <w:tabs>
          <w:tab w:val="left" w:pos="1134"/>
        </w:tabs>
        <w:ind w:left="2127" w:hanging="2127"/>
        <w:jc w:val="both"/>
        <w:rPr>
          <w:sz w:val="20"/>
        </w:rPr>
      </w:pPr>
      <w:proofErr w:type="spellStart"/>
      <w:r w:rsidRPr="00551386">
        <w:rPr>
          <w:sz w:val="20"/>
        </w:rPr>
        <w:t>Cqs</w:t>
      </w:r>
      <w:proofErr w:type="spellEnd"/>
      <w:r>
        <w:rPr>
          <w:sz w:val="20"/>
        </w:rPr>
        <w:t xml:space="preserve"> </w:t>
      </w:r>
      <w:r w:rsidRPr="00551386">
        <w:rPr>
          <w:sz w:val="20"/>
        </w:rPr>
        <w:t>=</w:t>
      </w:r>
      <w:r>
        <w:rPr>
          <w:sz w:val="20"/>
        </w:rPr>
        <w:t xml:space="preserve"> </w:t>
      </w:r>
      <w:r w:rsidRPr="00551386">
        <w:rPr>
          <w:sz w:val="20"/>
        </w:rPr>
        <w:t xml:space="preserve">the </w:t>
      </w:r>
      <w:proofErr w:type="spellStart"/>
      <w:r w:rsidRPr="00551386">
        <w:rPr>
          <w:i/>
          <w:sz w:val="20"/>
        </w:rPr>
        <w:t>Cqs</w:t>
      </w:r>
      <w:proofErr w:type="spellEnd"/>
      <w:r w:rsidRPr="00551386">
        <w:rPr>
          <w:sz w:val="20"/>
        </w:rPr>
        <w:t xml:space="preserve"> applicable with respect to the relevant Thermal Year or period;</w:t>
      </w:r>
    </w:p>
    <w:p w:rsidR="00A83EDB" w:rsidRPr="0083401F" w:rsidRDefault="00A83EDB" w:rsidP="00A83EDB">
      <w:pPr>
        <w:tabs>
          <w:tab w:val="left" w:pos="1134"/>
        </w:tabs>
        <w:ind w:left="2127" w:hanging="2127"/>
        <w:rPr>
          <w:sz w:val="20"/>
          <w:lang w:val="en-US"/>
        </w:rPr>
      </w:pPr>
      <w:proofErr w:type="spellStart"/>
      <w:r w:rsidRPr="007D3937">
        <w:rPr>
          <w:sz w:val="20"/>
          <w:lang w:val="en-US"/>
        </w:rPr>
        <w:t>Cets</w:t>
      </w:r>
      <w:proofErr w:type="spellEnd"/>
      <w:r>
        <w:rPr>
          <w:sz w:val="16"/>
          <w:szCs w:val="16"/>
          <w:lang w:val="en-US"/>
        </w:rPr>
        <w:t xml:space="preserve"> </w:t>
      </w:r>
      <w:r w:rsidRPr="007D3937">
        <w:rPr>
          <w:sz w:val="16"/>
          <w:szCs w:val="16"/>
          <w:lang w:val="en-US"/>
        </w:rPr>
        <w:t>=</w:t>
      </w:r>
      <w:r>
        <w:rPr>
          <w:sz w:val="16"/>
          <w:szCs w:val="16"/>
          <w:lang w:val="en-US"/>
        </w:rPr>
        <w:t xml:space="preserve"> </w:t>
      </w:r>
      <w:r w:rsidRPr="007D3937">
        <w:rPr>
          <w:sz w:val="20"/>
          <w:lang w:val="en-US"/>
        </w:rPr>
        <w:t xml:space="preserve">the </w:t>
      </w:r>
      <w:proofErr w:type="spellStart"/>
      <w:r w:rsidRPr="007D3937">
        <w:rPr>
          <w:sz w:val="20"/>
          <w:lang w:val="en-US"/>
        </w:rPr>
        <w:t>Cets</w:t>
      </w:r>
      <w:proofErr w:type="spellEnd"/>
      <w:r w:rsidRPr="007D3937">
        <w:rPr>
          <w:sz w:val="20"/>
          <w:lang w:val="en-US"/>
        </w:rPr>
        <w:t xml:space="preserve">  applicable </w:t>
      </w:r>
      <w:r w:rsidRPr="007D3937">
        <w:rPr>
          <w:sz w:val="20"/>
        </w:rPr>
        <w:t>with respect to the relevant Thermal Year or period;</w:t>
      </w:r>
    </w:p>
    <w:p w:rsidR="00A83EDB" w:rsidRPr="00E060BF" w:rsidRDefault="00A83EDB" w:rsidP="00A83EDB">
      <w:pPr>
        <w:tabs>
          <w:tab w:val="left" w:pos="1134"/>
        </w:tabs>
        <w:ind w:left="2127" w:hanging="2127"/>
        <w:rPr>
          <w:sz w:val="20"/>
        </w:rPr>
      </w:pPr>
      <w:r w:rsidRPr="00E060BF">
        <w:rPr>
          <w:sz w:val="20"/>
        </w:rPr>
        <w:t>SC</w:t>
      </w:r>
      <w:r>
        <w:rPr>
          <w:sz w:val="20"/>
        </w:rPr>
        <w:t xml:space="preserve"> </w:t>
      </w:r>
      <w:r w:rsidRPr="00E060BF">
        <w:rPr>
          <w:sz w:val="20"/>
        </w:rPr>
        <w:t>=</w:t>
      </w:r>
      <w:r>
        <w:rPr>
          <w:sz w:val="20"/>
        </w:rPr>
        <w:t xml:space="preserve"> </w:t>
      </w:r>
      <w:r w:rsidRPr="00E060BF">
        <w:rPr>
          <w:sz w:val="20"/>
        </w:rPr>
        <w:t>the amount of Subscribed Capacity under the relevant Capacity Agreement with respect to the relevant Thermal Year</w:t>
      </w:r>
      <w:r>
        <w:rPr>
          <w:sz w:val="20"/>
        </w:rPr>
        <w:t xml:space="preserve"> </w:t>
      </w:r>
      <w:r w:rsidRPr="00E060BF">
        <w:rPr>
          <w:sz w:val="20"/>
        </w:rPr>
        <w:t xml:space="preserve">or period; </w:t>
      </w:r>
    </w:p>
    <w:p w:rsidR="00A83EDB" w:rsidRPr="00616448" w:rsidRDefault="00A83EDB" w:rsidP="00A83EDB">
      <w:pPr>
        <w:tabs>
          <w:tab w:val="left" w:pos="1134"/>
        </w:tabs>
        <w:ind w:left="2127" w:hanging="2127"/>
        <w:jc w:val="both"/>
        <w:rPr>
          <w:sz w:val="20"/>
        </w:rPr>
      </w:pPr>
      <w:r w:rsidRPr="00616448">
        <w:rPr>
          <w:sz w:val="20"/>
        </w:rPr>
        <w:t>GCC=the User’s proportionate share of the total Grid Capacity Charge with respect to the relevant Thermal Year or period;</w:t>
      </w:r>
    </w:p>
    <w:p w:rsidR="00A83EDB" w:rsidRDefault="00A83EDB" w:rsidP="00A83EDB">
      <w:pPr>
        <w:ind w:left="708" w:hanging="708"/>
        <w:jc w:val="both"/>
        <w:rPr>
          <w:sz w:val="20"/>
        </w:rPr>
      </w:pPr>
    </w:p>
    <w:p w:rsidR="00A83EDB" w:rsidRPr="00DA2642" w:rsidRDefault="00A83EDB" w:rsidP="00A83EDB">
      <w:pPr>
        <w:jc w:val="both"/>
        <w:rPr>
          <w:b/>
          <w:sz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54A" w:rsidRPr="00444E9F" w:rsidRDefault="00444E9F" w:rsidP="0004154A">
    <w:pPr>
      <w:jc w:val="center"/>
      <w:rPr>
        <w:rFonts w:eastAsiaTheme="minorHAnsi"/>
        <w:b/>
        <w:i/>
        <w:szCs w:val="24"/>
        <w:lang w:val="en-US" w:eastAsia="en-US"/>
      </w:rPr>
    </w:pPr>
    <w:r w:rsidRPr="00444E9F">
      <w:rPr>
        <w:b/>
        <w:i/>
        <w:szCs w:val="24"/>
        <w:lang w:val="en-US"/>
      </w:rPr>
      <w:t xml:space="preserve">English courtesy translation, </w:t>
    </w:r>
    <w:proofErr w:type="spellStart"/>
    <w:r w:rsidRPr="00444E9F">
      <w:rPr>
        <w:b/>
        <w:i/>
        <w:szCs w:val="24"/>
        <w:lang w:val="en-US"/>
      </w:rPr>
      <w:t>non binding</w:t>
    </w:r>
    <w:proofErr w:type="spellEnd"/>
  </w:p>
  <w:p w:rsidR="0004154A" w:rsidRPr="0004154A" w:rsidRDefault="0004154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550ED"/>
    <w:multiLevelType w:val="multilevel"/>
    <w:tmpl w:val="D2D01B84"/>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34112D9E"/>
    <w:multiLevelType w:val="multilevel"/>
    <w:tmpl w:val="C730063A"/>
    <w:lvl w:ilvl="0">
      <w:start w:val="1"/>
      <w:numFmt w:val="none"/>
      <w:pStyle w:val="Definition"/>
      <w:suff w:val="nothing"/>
      <w:lvlText w:val=""/>
      <w:lvlJc w:val="left"/>
      <w:pPr>
        <w:ind w:left="720" w:firstLine="0"/>
      </w:pPr>
      <w:rPr>
        <w:rFonts w:ascii="Times New Roman" w:hAnsi="Times New Roman"/>
        <w:b/>
        <w:i w:val="0"/>
        <w:caps/>
        <w:smallCaps w:val="0"/>
        <w:sz w:val="22"/>
      </w:rPr>
    </w:lvl>
    <w:lvl w:ilvl="1">
      <w:start w:val="1"/>
      <w:numFmt w:val="none"/>
      <w:pStyle w:val="NormalIndent"/>
      <w:suff w:val="nothing"/>
      <w:lvlText w:val=""/>
      <w:lvlJc w:val="left"/>
      <w:pPr>
        <w:ind w:left="720" w:firstLine="0"/>
      </w:pPr>
      <w:rPr>
        <w:rFonts w:ascii="Times New Roman" w:hAnsi="Times New Roman" w:hint="default"/>
        <w:b w:val="0"/>
        <w:i w:val="0"/>
        <w: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suff w:val="nothing"/>
      <w:lvlText w:val="%8."/>
      <w:lvlJc w:val="left"/>
      <w:pPr>
        <w:ind w:left="-32767" w:firstLine="0"/>
      </w:pPr>
      <w:rPr>
        <w:rFonts w:ascii="Times New Roman" w:hAnsi="Times New Roman"/>
        <w:b w:val="0"/>
        <w:i w:val="0"/>
        <w:sz w:val="22"/>
      </w:rPr>
    </w:lvl>
    <w:lvl w:ilvl="8">
      <w:start w:val="1"/>
      <w:numFmt w:val="none"/>
      <w:suff w:val="nothing"/>
      <w:lvlText w:val=""/>
      <w:lvlJc w:val="left"/>
      <w:pPr>
        <w:ind w:left="-32767" w:firstLine="0"/>
      </w:pPr>
      <w:rPr>
        <w:rFonts w:ascii="Times New Roman" w:hAnsi="Times New Roman"/>
        <w:b w:val="0"/>
        <w:i w:val="0"/>
        <w:sz w:val="22"/>
      </w:rPr>
    </w:lvl>
  </w:abstractNum>
  <w:abstractNum w:abstractNumId="2" w15:restartNumberingAfterBreak="0">
    <w:nsid w:val="41CF7572"/>
    <w:multiLevelType w:val="multilevel"/>
    <w:tmpl w:val="0A966874"/>
    <w:lvl w:ilvl="0">
      <w:start w:val="1"/>
      <w:numFmt w:val="upperRoman"/>
      <w:pStyle w:val="Heading1"/>
      <w:suff w:val="nothing"/>
      <w:lvlText w:val="CHAPTER %1"/>
      <w:lvlJc w:val="center"/>
      <w:pPr>
        <w:ind w:left="-851" w:firstLine="851"/>
      </w:pPr>
      <w:rPr>
        <w:rFonts w:ascii="Times New Roman" w:hAnsi="Times New Roman" w:hint="default"/>
        <w:b/>
        <w:i w:val="0"/>
        <w:caps/>
        <w:sz w:val="24"/>
        <w:szCs w:val="22"/>
      </w:rPr>
    </w:lvl>
    <w:lvl w:ilvl="1">
      <w:start w:val="1"/>
      <w:numFmt w:val="decimal"/>
      <w:pStyle w:val="Heading2"/>
      <w:lvlText w:val="%1.%2"/>
      <w:lvlJc w:val="left"/>
      <w:pPr>
        <w:tabs>
          <w:tab w:val="num" w:pos="1276"/>
        </w:tabs>
        <w:ind w:left="1276" w:hanging="709"/>
      </w:pPr>
      <w:rPr>
        <w:rFonts w:hint="default"/>
      </w:rPr>
    </w:lvl>
    <w:lvl w:ilvl="2">
      <w:start w:val="1"/>
      <w:numFmt w:val="decimal"/>
      <w:pStyle w:val="Heading3"/>
      <w:lvlText w:val="%1.%2.%3"/>
      <w:lvlJc w:val="left"/>
      <w:pPr>
        <w:tabs>
          <w:tab w:val="num" w:pos="1844"/>
        </w:tabs>
        <w:ind w:left="1844" w:hanging="709"/>
      </w:pPr>
      <w:rPr>
        <w:rFonts w:hint="default"/>
        <w:strike w:val="0"/>
      </w:rPr>
    </w:lvl>
    <w:lvl w:ilvl="3">
      <w:start w:val="1"/>
      <w:numFmt w:val="decimal"/>
      <w:pStyle w:val="Heading4"/>
      <w:lvlText w:val="%2.%3.%4"/>
      <w:lvlJc w:val="left"/>
      <w:pPr>
        <w:tabs>
          <w:tab w:val="num" w:pos="709"/>
        </w:tabs>
        <w:ind w:left="709" w:hanging="709"/>
      </w:pPr>
      <w:rPr>
        <w:b w:val="0"/>
        <w:i w:val="0"/>
      </w:rPr>
    </w:lvl>
    <w:lvl w:ilvl="4">
      <w:start w:val="1"/>
      <w:numFmt w:val="decimal"/>
      <w:pStyle w:val="Heading5"/>
      <w:lvlText w:val="%5)"/>
      <w:lvlJc w:val="left"/>
      <w:pPr>
        <w:tabs>
          <w:tab w:val="num" w:pos="1008"/>
        </w:tabs>
        <w:ind w:left="1008" w:hanging="432"/>
      </w:pPr>
      <w:rPr>
        <w:rFonts w:hint="default"/>
      </w:rPr>
    </w:lvl>
    <w:lvl w:ilvl="5">
      <w:start w:val="1"/>
      <w:numFmt w:val="lowerLetter"/>
      <w:pStyle w:val="Heading6"/>
      <w:lvlText w:val="%6)"/>
      <w:lvlJc w:val="left"/>
      <w:pPr>
        <w:tabs>
          <w:tab w:val="num" w:pos="1152"/>
        </w:tabs>
        <w:ind w:left="1152" w:hanging="432"/>
      </w:pPr>
      <w:rPr>
        <w:rFonts w:hint="default"/>
      </w:rPr>
    </w:lvl>
    <w:lvl w:ilvl="6">
      <w:start w:val="1"/>
      <w:numFmt w:val="lowerRoman"/>
      <w:pStyle w:val="Heading7"/>
      <w:lvlText w:val="%7)"/>
      <w:lvlJc w:val="right"/>
      <w:pPr>
        <w:tabs>
          <w:tab w:val="num" w:pos="1296"/>
        </w:tabs>
        <w:ind w:left="1296" w:hanging="288"/>
      </w:pPr>
      <w:rPr>
        <w:rFonts w:hint="default"/>
      </w:rPr>
    </w:lvl>
    <w:lvl w:ilvl="7">
      <w:start w:val="1"/>
      <w:numFmt w:val="lowerLetter"/>
      <w:pStyle w:val="Heading8"/>
      <w:lvlText w:val="%8."/>
      <w:lvlJc w:val="left"/>
      <w:pPr>
        <w:tabs>
          <w:tab w:val="num" w:pos="1440"/>
        </w:tabs>
        <w:ind w:left="1440" w:hanging="432"/>
      </w:pPr>
      <w:rPr>
        <w:rFonts w:hint="default"/>
      </w:rPr>
    </w:lvl>
    <w:lvl w:ilvl="8">
      <w:start w:val="1"/>
      <w:numFmt w:val="lowerRoman"/>
      <w:pStyle w:val="Heading9"/>
      <w:lvlText w:val="%9."/>
      <w:lvlJc w:val="right"/>
      <w:pPr>
        <w:tabs>
          <w:tab w:val="num" w:pos="1584"/>
        </w:tabs>
        <w:ind w:left="1584" w:hanging="144"/>
      </w:pPr>
      <w:rPr>
        <w:rFonts w:hint="default"/>
      </w:rPr>
    </w:lvl>
  </w:abstractNum>
  <w:abstractNum w:abstractNumId="3" w15:restartNumberingAfterBreak="0">
    <w:nsid w:val="475B3203"/>
    <w:multiLevelType w:val="multilevel"/>
    <w:tmpl w:val="7AE040EE"/>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4" w15:restartNumberingAfterBreak="0">
    <w:nsid w:val="60DA5AD5"/>
    <w:multiLevelType w:val="multilevel"/>
    <w:tmpl w:val="B6F0893C"/>
    <w:lvl w:ilvl="0">
      <w:start w:val="1"/>
      <w:numFmt w:val="lowerLetter"/>
      <w:lvlText w:val="(%1)"/>
      <w:lvlJc w:val="left"/>
      <w:pPr>
        <w:tabs>
          <w:tab w:val="num" w:pos="567"/>
        </w:tabs>
        <w:ind w:left="567" w:hanging="567"/>
      </w:pPr>
      <w:rPr>
        <w:rFonts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AEF1356"/>
    <w:multiLevelType w:val="multilevel"/>
    <w:tmpl w:val="A434F104"/>
    <w:lvl w:ilvl="0">
      <w:start w:val="1"/>
      <w:numFmt w:val="lowerLetter"/>
      <w:lvlText w:val="(%1)"/>
      <w:lvlJc w:val="left"/>
      <w:pPr>
        <w:tabs>
          <w:tab w:val="num" w:pos="927"/>
        </w:tabs>
        <w:ind w:left="927" w:hanging="567"/>
      </w:pPr>
      <w:rPr>
        <w:rFonts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3"/>
  </w:num>
  <w:num w:numId="4">
    <w:abstractNumId w:val="4"/>
  </w:num>
  <w:num w:numId="5">
    <w:abstractNumId w:val="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A85"/>
    <w:rsid w:val="0004154A"/>
    <w:rsid w:val="0004539A"/>
    <w:rsid w:val="000759CD"/>
    <w:rsid w:val="00092BA7"/>
    <w:rsid w:val="000F73A4"/>
    <w:rsid w:val="00114F9E"/>
    <w:rsid w:val="002B0C46"/>
    <w:rsid w:val="002B4E96"/>
    <w:rsid w:val="00347206"/>
    <w:rsid w:val="003A33D0"/>
    <w:rsid w:val="003D3A85"/>
    <w:rsid w:val="00444E9F"/>
    <w:rsid w:val="004630DF"/>
    <w:rsid w:val="004E1B62"/>
    <w:rsid w:val="00643F14"/>
    <w:rsid w:val="0065712A"/>
    <w:rsid w:val="00661BF9"/>
    <w:rsid w:val="006A4BB4"/>
    <w:rsid w:val="006B42F3"/>
    <w:rsid w:val="006C1DEE"/>
    <w:rsid w:val="007C0915"/>
    <w:rsid w:val="00852152"/>
    <w:rsid w:val="00893E5B"/>
    <w:rsid w:val="008F6AE4"/>
    <w:rsid w:val="00933D2B"/>
    <w:rsid w:val="009432FF"/>
    <w:rsid w:val="00973501"/>
    <w:rsid w:val="009C7080"/>
    <w:rsid w:val="00A83EDB"/>
    <w:rsid w:val="00AA0A48"/>
    <w:rsid w:val="00AC3F1D"/>
    <w:rsid w:val="00AE12C9"/>
    <w:rsid w:val="00AF60CC"/>
    <w:rsid w:val="00B13172"/>
    <w:rsid w:val="00C54FE5"/>
    <w:rsid w:val="00CC606C"/>
    <w:rsid w:val="00CD019F"/>
    <w:rsid w:val="00CD7391"/>
    <w:rsid w:val="00EB479A"/>
    <w:rsid w:val="00F73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32738A9-83BE-4ACC-A195-D5A638623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3EDB"/>
    <w:pPr>
      <w:widowControl w:val="0"/>
      <w:spacing w:after="0" w:line="240" w:lineRule="auto"/>
    </w:pPr>
    <w:rPr>
      <w:rFonts w:ascii="Times New Roman" w:eastAsia="Times New Roman" w:hAnsi="Times New Roman" w:cs="Times New Roman"/>
      <w:sz w:val="24"/>
      <w:szCs w:val="20"/>
      <w:lang w:val="en-GB" w:eastAsia="it-IT"/>
    </w:rPr>
  </w:style>
  <w:style w:type="paragraph" w:styleId="Heading1">
    <w:name w:val="heading 1"/>
    <w:basedOn w:val="Normal"/>
    <w:next w:val="Normal"/>
    <w:link w:val="Heading1Char"/>
    <w:qFormat/>
    <w:rsid w:val="00A83EDB"/>
    <w:pPr>
      <w:keepNext/>
      <w:numPr>
        <w:numId w:val="1"/>
      </w:numPr>
      <w:spacing w:line="360" w:lineRule="auto"/>
      <w:jc w:val="center"/>
      <w:outlineLvl w:val="0"/>
    </w:pPr>
    <w:rPr>
      <w:b/>
      <w:sz w:val="32"/>
    </w:rPr>
  </w:style>
  <w:style w:type="paragraph" w:styleId="Heading2">
    <w:name w:val="heading 2"/>
    <w:basedOn w:val="Normal"/>
    <w:next w:val="Normal"/>
    <w:link w:val="Heading2Char"/>
    <w:qFormat/>
    <w:rsid w:val="00A83EDB"/>
    <w:pPr>
      <w:keepNext/>
      <w:widowControl/>
      <w:numPr>
        <w:ilvl w:val="1"/>
        <w:numId w:val="1"/>
      </w:numPr>
      <w:spacing w:after="240"/>
      <w:outlineLvl w:val="1"/>
    </w:pPr>
    <w:rPr>
      <w:b/>
      <w:u w:val="single"/>
    </w:rPr>
  </w:style>
  <w:style w:type="paragraph" w:styleId="Heading3">
    <w:name w:val="heading 3"/>
    <w:basedOn w:val="Normal"/>
    <w:next w:val="Normal"/>
    <w:link w:val="Heading3Char"/>
    <w:qFormat/>
    <w:rsid w:val="00A83EDB"/>
    <w:pPr>
      <w:numPr>
        <w:ilvl w:val="2"/>
        <w:numId w:val="1"/>
      </w:numPr>
      <w:spacing w:after="240"/>
      <w:jc w:val="both"/>
      <w:outlineLvl w:val="2"/>
    </w:pPr>
  </w:style>
  <w:style w:type="paragraph" w:styleId="Heading4">
    <w:name w:val="heading 4"/>
    <w:basedOn w:val="Normal"/>
    <w:next w:val="Normal"/>
    <w:link w:val="Heading4Char"/>
    <w:qFormat/>
    <w:rsid w:val="00A83EDB"/>
    <w:pPr>
      <w:numPr>
        <w:ilvl w:val="3"/>
        <w:numId w:val="1"/>
      </w:numPr>
      <w:spacing w:after="240"/>
      <w:jc w:val="both"/>
      <w:outlineLvl w:val="3"/>
    </w:pPr>
  </w:style>
  <w:style w:type="paragraph" w:styleId="Heading5">
    <w:name w:val="heading 5"/>
    <w:basedOn w:val="Normal"/>
    <w:next w:val="Normal"/>
    <w:link w:val="Heading5Char"/>
    <w:qFormat/>
    <w:rsid w:val="00A83EDB"/>
    <w:pPr>
      <w:numPr>
        <w:ilvl w:val="4"/>
        <w:numId w:val="1"/>
      </w:numPr>
      <w:spacing w:before="240" w:after="60"/>
      <w:outlineLvl w:val="4"/>
    </w:pPr>
    <w:rPr>
      <w:b/>
      <w:i/>
      <w:sz w:val="26"/>
    </w:rPr>
  </w:style>
  <w:style w:type="paragraph" w:styleId="Heading6">
    <w:name w:val="heading 6"/>
    <w:basedOn w:val="Normal"/>
    <w:next w:val="Normal"/>
    <w:link w:val="Heading6Char"/>
    <w:qFormat/>
    <w:rsid w:val="00A83EDB"/>
    <w:pPr>
      <w:numPr>
        <w:ilvl w:val="5"/>
        <w:numId w:val="1"/>
      </w:numPr>
      <w:spacing w:before="240" w:after="60"/>
      <w:outlineLvl w:val="5"/>
    </w:pPr>
    <w:rPr>
      <w:b/>
      <w:sz w:val="22"/>
    </w:rPr>
  </w:style>
  <w:style w:type="paragraph" w:styleId="Heading7">
    <w:name w:val="heading 7"/>
    <w:basedOn w:val="Normal"/>
    <w:next w:val="Normal"/>
    <w:link w:val="Heading7Char"/>
    <w:qFormat/>
    <w:rsid w:val="00A83EDB"/>
    <w:pPr>
      <w:numPr>
        <w:ilvl w:val="6"/>
        <w:numId w:val="1"/>
      </w:numPr>
      <w:spacing w:before="240" w:after="60"/>
      <w:outlineLvl w:val="6"/>
    </w:pPr>
  </w:style>
  <w:style w:type="paragraph" w:styleId="Heading8">
    <w:name w:val="heading 8"/>
    <w:basedOn w:val="Normal"/>
    <w:next w:val="Normal"/>
    <w:link w:val="Heading8Char"/>
    <w:qFormat/>
    <w:rsid w:val="00A83EDB"/>
    <w:pPr>
      <w:numPr>
        <w:ilvl w:val="7"/>
        <w:numId w:val="1"/>
      </w:numPr>
      <w:spacing w:before="240" w:after="60"/>
      <w:outlineLvl w:val="7"/>
    </w:pPr>
    <w:rPr>
      <w:i/>
    </w:rPr>
  </w:style>
  <w:style w:type="paragraph" w:styleId="Heading9">
    <w:name w:val="heading 9"/>
    <w:basedOn w:val="Normal"/>
    <w:next w:val="Normal"/>
    <w:link w:val="Heading9Char"/>
    <w:qFormat/>
    <w:rsid w:val="00A83EDB"/>
    <w:pPr>
      <w:numPr>
        <w:ilvl w:val="8"/>
        <w:numId w:val="1"/>
      </w:numPr>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3EDB"/>
    <w:rPr>
      <w:rFonts w:ascii="Times New Roman" w:eastAsia="Times New Roman" w:hAnsi="Times New Roman" w:cs="Times New Roman"/>
      <w:b/>
      <w:sz w:val="32"/>
      <w:szCs w:val="20"/>
      <w:lang w:val="en-GB" w:eastAsia="it-IT"/>
    </w:rPr>
  </w:style>
  <w:style w:type="character" w:customStyle="1" w:styleId="Heading2Char">
    <w:name w:val="Heading 2 Char"/>
    <w:basedOn w:val="DefaultParagraphFont"/>
    <w:link w:val="Heading2"/>
    <w:rsid w:val="00A83EDB"/>
    <w:rPr>
      <w:rFonts w:ascii="Times New Roman" w:eastAsia="Times New Roman" w:hAnsi="Times New Roman" w:cs="Times New Roman"/>
      <w:b/>
      <w:sz w:val="24"/>
      <w:szCs w:val="20"/>
      <w:u w:val="single"/>
      <w:lang w:val="en-GB" w:eastAsia="it-IT"/>
    </w:rPr>
  </w:style>
  <w:style w:type="character" w:customStyle="1" w:styleId="Heading3Char">
    <w:name w:val="Heading 3 Char"/>
    <w:basedOn w:val="DefaultParagraphFont"/>
    <w:link w:val="Heading3"/>
    <w:rsid w:val="00A83EDB"/>
    <w:rPr>
      <w:rFonts w:ascii="Times New Roman" w:eastAsia="Times New Roman" w:hAnsi="Times New Roman" w:cs="Times New Roman"/>
      <w:sz w:val="24"/>
      <w:szCs w:val="20"/>
      <w:lang w:val="en-GB" w:eastAsia="it-IT"/>
    </w:rPr>
  </w:style>
  <w:style w:type="character" w:customStyle="1" w:styleId="Heading4Char">
    <w:name w:val="Heading 4 Char"/>
    <w:basedOn w:val="DefaultParagraphFont"/>
    <w:link w:val="Heading4"/>
    <w:rsid w:val="00A83EDB"/>
    <w:rPr>
      <w:rFonts w:ascii="Times New Roman" w:eastAsia="Times New Roman" w:hAnsi="Times New Roman" w:cs="Times New Roman"/>
      <w:sz w:val="24"/>
      <w:szCs w:val="20"/>
      <w:lang w:val="en-GB" w:eastAsia="it-IT"/>
    </w:rPr>
  </w:style>
  <w:style w:type="character" w:customStyle="1" w:styleId="Heading5Char">
    <w:name w:val="Heading 5 Char"/>
    <w:basedOn w:val="DefaultParagraphFont"/>
    <w:link w:val="Heading5"/>
    <w:rsid w:val="00A83EDB"/>
    <w:rPr>
      <w:rFonts w:ascii="Times New Roman" w:eastAsia="Times New Roman" w:hAnsi="Times New Roman" w:cs="Times New Roman"/>
      <w:b/>
      <w:i/>
      <w:sz w:val="26"/>
      <w:szCs w:val="20"/>
      <w:lang w:val="en-GB" w:eastAsia="it-IT"/>
    </w:rPr>
  </w:style>
  <w:style w:type="character" w:customStyle="1" w:styleId="Heading6Char">
    <w:name w:val="Heading 6 Char"/>
    <w:basedOn w:val="DefaultParagraphFont"/>
    <w:link w:val="Heading6"/>
    <w:rsid w:val="00A83EDB"/>
    <w:rPr>
      <w:rFonts w:ascii="Times New Roman" w:eastAsia="Times New Roman" w:hAnsi="Times New Roman" w:cs="Times New Roman"/>
      <w:b/>
      <w:szCs w:val="20"/>
      <w:lang w:val="en-GB" w:eastAsia="it-IT"/>
    </w:rPr>
  </w:style>
  <w:style w:type="character" w:customStyle="1" w:styleId="Heading7Char">
    <w:name w:val="Heading 7 Char"/>
    <w:basedOn w:val="DefaultParagraphFont"/>
    <w:link w:val="Heading7"/>
    <w:rsid w:val="00A83EDB"/>
    <w:rPr>
      <w:rFonts w:ascii="Times New Roman" w:eastAsia="Times New Roman" w:hAnsi="Times New Roman" w:cs="Times New Roman"/>
      <w:sz w:val="24"/>
      <w:szCs w:val="20"/>
      <w:lang w:val="en-GB" w:eastAsia="it-IT"/>
    </w:rPr>
  </w:style>
  <w:style w:type="character" w:customStyle="1" w:styleId="Heading8Char">
    <w:name w:val="Heading 8 Char"/>
    <w:basedOn w:val="DefaultParagraphFont"/>
    <w:link w:val="Heading8"/>
    <w:rsid w:val="00A83EDB"/>
    <w:rPr>
      <w:rFonts w:ascii="Times New Roman" w:eastAsia="Times New Roman" w:hAnsi="Times New Roman" w:cs="Times New Roman"/>
      <w:i/>
      <w:sz w:val="24"/>
      <w:szCs w:val="20"/>
      <w:lang w:val="en-GB" w:eastAsia="it-IT"/>
    </w:rPr>
  </w:style>
  <w:style w:type="character" w:customStyle="1" w:styleId="Heading9Char">
    <w:name w:val="Heading 9 Char"/>
    <w:basedOn w:val="DefaultParagraphFont"/>
    <w:link w:val="Heading9"/>
    <w:rsid w:val="00A83EDB"/>
    <w:rPr>
      <w:rFonts w:ascii="Arial" w:eastAsia="Times New Roman" w:hAnsi="Arial" w:cs="Times New Roman"/>
      <w:szCs w:val="20"/>
      <w:lang w:val="en-GB" w:eastAsia="it-IT"/>
    </w:rPr>
  </w:style>
  <w:style w:type="paragraph" w:styleId="BodyTextIndent2">
    <w:name w:val="Body Text Indent 2"/>
    <w:basedOn w:val="Normal"/>
    <w:link w:val="BodyTextIndent2Char"/>
    <w:rsid w:val="00A83EDB"/>
    <w:pPr>
      <w:tabs>
        <w:tab w:val="left" w:pos="288"/>
        <w:tab w:val="left" w:pos="576"/>
        <w:tab w:val="left" w:pos="3168"/>
      </w:tabs>
      <w:spacing w:line="280" w:lineRule="exact"/>
      <w:ind w:left="426" w:hanging="426"/>
      <w:jc w:val="both"/>
    </w:pPr>
    <w:rPr>
      <w:color w:val="000000"/>
    </w:rPr>
  </w:style>
  <w:style w:type="character" w:customStyle="1" w:styleId="BodyTextIndent2Char">
    <w:name w:val="Body Text Indent 2 Char"/>
    <w:basedOn w:val="DefaultParagraphFont"/>
    <w:link w:val="BodyTextIndent2"/>
    <w:rsid w:val="00A83EDB"/>
    <w:rPr>
      <w:rFonts w:ascii="Times New Roman" w:eastAsia="Times New Roman" w:hAnsi="Times New Roman" w:cs="Times New Roman"/>
      <w:color w:val="000000"/>
      <w:sz w:val="24"/>
      <w:szCs w:val="20"/>
      <w:lang w:val="en-GB" w:eastAsia="it-IT"/>
    </w:rPr>
  </w:style>
  <w:style w:type="paragraph" w:styleId="BodyTextIndent3">
    <w:name w:val="Body Text Indent 3"/>
    <w:basedOn w:val="Normal"/>
    <w:link w:val="BodyTextIndent3Char"/>
    <w:rsid w:val="00A83EDB"/>
    <w:pPr>
      <w:spacing w:line="280" w:lineRule="exact"/>
      <w:ind w:left="567" w:hanging="567"/>
      <w:jc w:val="both"/>
    </w:pPr>
    <w:rPr>
      <w:color w:val="000000"/>
    </w:rPr>
  </w:style>
  <w:style w:type="character" w:customStyle="1" w:styleId="BodyTextIndent3Char">
    <w:name w:val="Body Text Indent 3 Char"/>
    <w:basedOn w:val="DefaultParagraphFont"/>
    <w:link w:val="BodyTextIndent3"/>
    <w:rsid w:val="00A83EDB"/>
    <w:rPr>
      <w:rFonts w:ascii="Times New Roman" w:eastAsia="Times New Roman" w:hAnsi="Times New Roman" w:cs="Times New Roman"/>
      <w:color w:val="000000"/>
      <w:sz w:val="24"/>
      <w:szCs w:val="20"/>
      <w:lang w:val="en-GB" w:eastAsia="it-IT"/>
    </w:rPr>
  </w:style>
  <w:style w:type="paragraph" w:styleId="Footer">
    <w:name w:val="footer"/>
    <w:basedOn w:val="Normal"/>
    <w:link w:val="FooterChar"/>
    <w:rsid w:val="00A83EDB"/>
    <w:pPr>
      <w:tabs>
        <w:tab w:val="center" w:pos="4819"/>
        <w:tab w:val="right" w:pos="9638"/>
      </w:tabs>
    </w:pPr>
  </w:style>
  <w:style w:type="character" w:customStyle="1" w:styleId="FooterChar">
    <w:name w:val="Footer Char"/>
    <w:basedOn w:val="DefaultParagraphFont"/>
    <w:link w:val="Footer"/>
    <w:rsid w:val="00A83EDB"/>
    <w:rPr>
      <w:rFonts w:ascii="Times New Roman" w:eastAsia="Times New Roman" w:hAnsi="Times New Roman" w:cs="Times New Roman"/>
      <w:sz w:val="24"/>
      <w:szCs w:val="20"/>
      <w:lang w:val="en-GB" w:eastAsia="it-IT"/>
    </w:rPr>
  </w:style>
  <w:style w:type="paragraph" w:styleId="FootnoteText">
    <w:name w:val="footnote text"/>
    <w:basedOn w:val="Normal"/>
    <w:link w:val="FootnoteTextChar"/>
    <w:semiHidden/>
    <w:rsid w:val="00A83EDB"/>
    <w:rPr>
      <w:sz w:val="20"/>
    </w:rPr>
  </w:style>
  <w:style w:type="character" w:customStyle="1" w:styleId="FootnoteTextChar">
    <w:name w:val="Footnote Text Char"/>
    <w:basedOn w:val="DefaultParagraphFont"/>
    <w:link w:val="FootnoteText"/>
    <w:semiHidden/>
    <w:rsid w:val="00A83EDB"/>
    <w:rPr>
      <w:rFonts w:ascii="Times New Roman" w:eastAsia="Times New Roman" w:hAnsi="Times New Roman" w:cs="Times New Roman"/>
      <w:sz w:val="20"/>
      <w:szCs w:val="20"/>
      <w:lang w:val="en-GB" w:eastAsia="it-IT"/>
    </w:rPr>
  </w:style>
  <w:style w:type="character" w:styleId="FootnoteReference">
    <w:name w:val="footnote reference"/>
    <w:semiHidden/>
    <w:rsid w:val="00A83EDB"/>
    <w:rPr>
      <w:sz w:val="20"/>
      <w:vertAlign w:val="superscript"/>
    </w:rPr>
  </w:style>
  <w:style w:type="character" w:customStyle="1" w:styleId="DeltaViewInsertion">
    <w:name w:val="DeltaView Insertion"/>
    <w:rsid w:val="00A83EDB"/>
    <w:rPr>
      <w:color w:val="0000FF"/>
      <w:spacing w:val="0"/>
      <w:u w:val="double"/>
    </w:rPr>
  </w:style>
  <w:style w:type="paragraph" w:styleId="BodyTextIndent">
    <w:name w:val="Body Text Indent"/>
    <w:basedOn w:val="Normal"/>
    <w:link w:val="BodyTextIndentChar"/>
    <w:rsid w:val="00A83EDB"/>
    <w:pPr>
      <w:spacing w:line="280" w:lineRule="exact"/>
      <w:ind w:left="567" w:hanging="567"/>
      <w:jc w:val="both"/>
    </w:pPr>
    <w:rPr>
      <w:snapToGrid w:val="0"/>
      <w:lang w:eastAsia="en-US"/>
    </w:rPr>
  </w:style>
  <w:style w:type="character" w:customStyle="1" w:styleId="BodyTextIndentChar">
    <w:name w:val="Body Text Indent Char"/>
    <w:basedOn w:val="DefaultParagraphFont"/>
    <w:link w:val="BodyTextIndent"/>
    <w:rsid w:val="00A83EDB"/>
    <w:rPr>
      <w:rFonts w:ascii="Times New Roman" w:eastAsia="Times New Roman" w:hAnsi="Times New Roman" w:cs="Times New Roman"/>
      <w:snapToGrid w:val="0"/>
      <w:sz w:val="24"/>
      <w:szCs w:val="20"/>
      <w:lang w:val="en-GB"/>
    </w:rPr>
  </w:style>
  <w:style w:type="paragraph" w:customStyle="1" w:styleId="Definition">
    <w:name w:val="Definition"/>
    <w:basedOn w:val="Normal"/>
    <w:next w:val="NormalIndent"/>
    <w:rsid w:val="00A83EDB"/>
    <w:pPr>
      <w:widowControl/>
      <w:numPr>
        <w:numId w:val="2"/>
      </w:numPr>
      <w:spacing w:before="240"/>
      <w:jc w:val="both"/>
      <w:outlineLvl w:val="2"/>
    </w:pPr>
    <w:rPr>
      <w:sz w:val="22"/>
    </w:rPr>
  </w:style>
  <w:style w:type="paragraph" w:styleId="NormalIndent">
    <w:name w:val="Normal Indent"/>
    <w:basedOn w:val="Normal"/>
    <w:rsid w:val="00A83EDB"/>
    <w:pPr>
      <w:widowControl/>
      <w:numPr>
        <w:ilvl w:val="1"/>
        <w:numId w:val="2"/>
      </w:numPr>
      <w:spacing w:before="240"/>
      <w:jc w:val="both"/>
    </w:pPr>
    <w:rPr>
      <w:sz w:val="22"/>
    </w:rPr>
  </w:style>
  <w:style w:type="paragraph" w:customStyle="1" w:styleId="AltHeading3">
    <w:name w:val="Alt Heading 3"/>
    <w:basedOn w:val="Heading3"/>
    <w:rsid w:val="00A83EDB"/>
    <w:pPr>
      <w:widowControl/>
      <w:numPr>
        <w:ilvl w:val="0"/>
        <w:numId w:val="0"/>
      </w:numPr>
      <w:spacing w:before="240" w:after="0"/>
      <w:ind w:left="720"/>
    </w:pPr>
    <w:rPr>
      <w:sz w:val="22"/>
    </w:rPr>
  </w:style>
  <w:style w:type="paragraph" w:customStyle="1" w:styleId="AODocTxt">
    <w:name w:val="AODocTxt"/>
    <w:basedOn w:val="Normal"/>
    <w:rsid w:val="00A83EDB"/>
    <w:pPr>
      <w:widowControl/>
      <w:numPr>
        <w:numId w:val="3"/>
      </w:numPr>
      <w:spacing w:before="240" w:line="260" w:lineRule="atLeast"/>
      <w:jc w:val="both"/>
    </w:pPr>
    <w:rPr>
      <w:sz w:val="22"/>
    </w:rPr>
  </w:style>
  <w:style w:type="paragraph" w:customStyle="1" w:styleId="AODocTxtL1">
    <w:name w:val="AODocTxtL1"/>
    <w:basedOn w:val="AODocTxt"/>
    <w:rsid w:val="00A83EDB"/>
    <w:pPr>
      <w:numPr>
        <w:ilvl w:val="1"/>
      </w:numPr>
    </w:pPr>
  </w:style>
  <w:style w:type="paragraph" w:customStyle="1" w:styleId="AODocTxtL2">
    <w:name w:val="AODocTxtL2"/>
    <w:basedOn w:val="AODocTxt"/>
    <w:rsid w:val="00A83EDB"/>
    <w:pPr>
      <w:numPr>
        <w:ilvl w:val="2"/>
      </w:numPr>
    </w:pPr>
  </w:style>
  <w:style w:type="paragraph" w:customStyle="1" w:styleId="AODocTxtL3">
    <w:name w:val="AODocTxtL3"/>
    <w:basedOn w:val="AODocTxt"/>
    <w:rsid w:val="00A83EDB"/>
    <w:pPr>
      <w:numPr>
        <w:ilvl w:val="3"/>
      </w:numPr>
    </w:pPr>
  </w:style>
  <w:style w:type="paragraph" w:customStyle="1" w:styleId="AODocTxtL4">
    <w:name w:val="AODocTxtL4"/>
    <w:basedOn w:val="AODocTxt"/>
    <w:rsid w:val="00A83EDB"/>
    <w:pPr>
      <w:numPr>
        <w:ilvl w:val="4"/>
      </w:numPr>
    </w:pPr>
  </w:style>
  <w:style w:type="paragraph" w:customStyle="1" w:styleId="AODocTxtL5">
    <w:name w:val="AODocTxtL5"/>
    <w:basedOn w:val="AODocTxt"/>
    <w:rsid w:val="00A83EDB"/>
    <w:pPr>
      <w:numPr>
        <w:ilvl w:val="5"/>
      </w:numPr>
    </w:pPr>
  </w:style>
  <w:style w:type="paragraph" w:customStyle="1" w:styleId="AODocTxtL6">
    <w:name w:val="AODocTxtL6"/>
    <w:basedOn w:val="AODocTxt"/>
    <w:rsid w:val="00A83EDB"/>
    <w:pPr>
      <w:numPr>
        <w:ilvl w:val="6"/>
      </w:numPr>
    </w:pPr>
  </w:style>
  <w:style w:type="paragraph" w:customStyle="1" w:styleId="AODocTxtL7">
    <w:name w:val="AODocTxtL7"/>
    <w:basedOn w:val="AODocTxt"/>
    <w:rsid w:val="00A83EDB"/>
    <w:pPr>
      <w:numPr>
        <w:ilvl w:val="7"/>
      </w:numPr>
    </w:pPr>
  </w:style>
  <w:style w:type="paragraph" w:customStyle="1" w:styleId="AODocTxtL8">
    <w:name w:val="AODocTxtL8"/>
    <w:basedOn w:val="AODocTxt"/>
    <w:rsid w:val="00A83EDB"/>
    <w:pPr>
      <w:numPr>
        <w:ilvl w:val="8"/>
      </w:numPr>
    </w:pPr>
  </w:style>
  <w:style w:type="paragraph" w:customStyle="1" w:styleId="AONormal">
    <w:name w:val="AONormal"/>
    <w:rsid w:val="00A83EDB"/>
    <w:pPr>
      <w:spacing w:after="0" w:line="260" w:lineRule="atLeast"/>
    </w:pPr>
    <w:rPr>
      <w:rFonts w:ascii="Times New Roman" w:eastAsia="SimSun" w:hAnsi="Times New Roman" w:cs="Times New Roman"/>
      <w:lang w:val="it-IT"/>
    </w:rPr>
  </w:style>
  <w:style w:type="paragraph" w:customStyle="1" w:styleId="Nomale11pt">
    <w:name w:val="Nomale + 11 pt"/>
    <w:aliases w:val="Giustificato,Sinistro:  0 cm,Prima riga:  0 cm"/>
    <w:basedOn w:val="Heading2"/>
    <w:link w:val="Nomale11ptGiustificatoSinistro0cmPrimariga0cmCarattereCarattere"/>
    <w:rsid w:val="00A83EDB"/>
    <w:pPr>
      <w:numPr>
        <w:ilvl w:val="0"/>
        <w:numId w:val="0"/>
      </w:numPr>
    </w:pPr>
    <w:rPr>
      <w:sz w:val="22"/>
    </w:rPr>
  </w:style>
  <w:style w:type="character" w:customStyle="1" w:styleId="Nomale11ptGiustificatoSinistro0cmPrimariga0cmCarattereCarattere">
    <w:name w:val="Nomale + 11 pt.Giustificato.Sinistro:  0 cm.Prima riga:  0 cm Carattere Carattere"/>
    <w:link w:val="Nomale11pt"/>
    <w:rsid w:val="00A83EDB"/>
    <w:rPr>
      <w:rFonts w:ascii="Times New Roman" w:eastAsia="Times New Roman" w:hAnsi="Times New Roman" w:cs="Times New Roman"/>
      <w:b/>
      <w:szCs w:val="20"/>
      <w:u w:val="single"/>
      <w:lang w:val="en-GB" w:eastAsia="it-IT"/>
    </w:rPr>
  </w:style>
  <w:style w:type="paragraph" w:styleId="Header">
    <w:name w:val="header"/>
    <w:basedOn w:val="Normal"/>
    <w:link w:val="HeaderChar"/>
    <w:uiPriority w:val="99"/>
    <w:unhideWhenUsed/>
    <w:rsid w:val="0004154A"/>
    <w:pPr>
      <w:tabs>
        <w:tab w:val="center" w:pos="4680"/>
        <w:tab w:val="right" w:pos="9360"/>
      </w:tabs>
    </w:pPr>
  </w:style>
  <w:style w:type="character" w:customStyle="1" w:styleId="HeaderChar">
    <w:name w:val="Header Char"/>
    <w:basedOn w:val="DefaultParagraphFont"/>
    <w:link w:val="Header"/>
    <w:uiPriority w:val="99"/>
    <w:rsid w:val="0004154A"/>
    <w:rPr>
      <w:rFonts w:ascii="Times New Roman" w:eastAsia="Times New Roman" w:hAnsi="Times New Roman" w:cs="Times New Roman"/>
      <w:sz w:val="24"/>
      <w:szCs w:val="20"/>
      <w:lang w:val="en-GB"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1824</Words>
  <Characters>10397</Characters>
  <Application>Microsoft Office Word</Application>
  <DocSecurity>0</DocSecurity>
  <Lines>86</Lines>
  <Paragraphs>24</Paragraphs>
  <ScaleCrop>false</ScaleCrop>
  <Company/>
  <LinksUpToDate>false</LinksUpToDate>
  <CharactersWithSpaces>12197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Roncon Lisa</dc:creator>
  <cp:keywords/>
  <dc:description/>
  <cp:lastModifiedBy>Pregnolato Arianna</cp:lastModifiedBy>
  <cp:revision>4</cp:revision>
  <dcterms:created xsi:type="dcterms:W3CDTF">2021-08-24T07:28:00Z</dcterms:created>
  <dcterms:modified xsi:type="dcterms:W3CDTF">2021-08-25T06:57:00Z</dcterms:modified>
</cp:coreProperties>
</file>