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E30D" w14:textId="41FB6EEF" w:rsidR="00DE5334" w:rsidRPr="00CA5CAA" w:rsidRDefault="00D85C4E" w:rsidP="009420AF">
      <w:pPr>
        <w:spacing w:before="120" w:after="120" w:line="360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</w:t>
      </w:r>
      <w:r w:rsidR="00DE5334" w:rsidRPr="00CA5CAA">
        <w:rPr>
          <w:rFonts w:asciiTheme="minorHAnsi" w:hAnsiTheme="minorHAnsi" w:cstheme="minorHAnsi"/>
          <w:lang w:val="it-IT"/>
        </w:rPr>
        <w:t>:</w:t>
      </w:r>
    </w:p>
    <w:p w14:paraId="007DABC4" w14:textId="5C4BA7D1" w:rsidR="00BE66ED" w:rsidRPr="00CA5CAA" w:rsidRDefault="00B93B8E" w:rsidP="009420AF">
      <w:pPr>
        <w:spacing w:before="120" w:after="120" w:line="360" w:lineRule="auto"/>
        <w:rPr>
          <w:rFonts w:asciiTheme="minorHAnsi" w:hAnsiTheme="minorHAnsi" w:cstheme="minorHAnsi"/>
          <w:b/>
          <w:bCs/>
          <w:lang w:val="it-IT"/>
        </w:rPr>
      </w:pPr>
      <w:r w:rsidRPr="00CA5CAA">
        <w:rPr>
          <w:rFonts w:asciiTheme="minorHAnsi" w:hAnsiTheme="minorHAnsi" w:cstheme="minorHAnsi"/>
          <w:b/>
          <w:bCs/>
          <w:lang w:val="it-IT"/>
        </w:rPr>
        <w:t>Terminale GNL Adriatico S.r.l.</w:t>
      </w:r>
    </w:p>
    <w:p w14:paraId="6392869C" w14:textId="7E18786D" w:rsidR="00B93B8E" w:rsidRPr="00CA5CAA" w:rsidRDefault="00DE5334" w:rsidP="009420AF">
      <w:pPr>
        <w:spacing w:before="120" w:after="120" w:line="360" w:lineRule="auto"/>
        <w:rPr>
          <w:rFonts w:asciiTheme="minorHAnsi" w:hAnsiTheme="minorHAnsi" w:cstheme="minorHAnsi"/>
          <w:lang w:val="it-IT"/>
        </w:rPr>
      </w:pPr>
      <w:r w:rsidRPr="00CA5CAA">
        <w:rPr>
          <w:rFonts w:asciiTheme="minorHAnsi" w:hAnsiTheme="minorHAnsi" w:cstheme="minorHAnsi"/>
          <w:lang w:val="it-IT"/>
        </w:rPr>
        <w:t>Via Santa Radegonda 8</w:t>
      </w:r>
    </w:p>
    <w:p w14:paraId="0D23EB6F" w14:textId="2DAD6240" w:rsidR="00DE5334" w:rsidRPr="00CA5CAA" w:rsidRDefault="00DE5334" w:rsidP="009420AF">
      <w:pPr>
        <w:spacing w:before="120" w:after="120" w:line="360" w:lineRule="auto"/>
        <w:rPr>
          <w:rFonts w:asciiTheme="minorHAnsi" w:hAnsiTheme="minorHAnsi" w:cstheme="minorHAnsi"/>
          <w:lang w:val="it-IT"/>
        </w:rPr>
      </w:pPr>
      <w:r w:rsidRPr="00CA5CAA">
        <w:rPr>
          <w:rFonts w:asciiTheme="minorHAnsi" w:hAnsiTheme="minorHAnsi" w:cstheme="minorHAnsi"/>
          <w:lang w:val="it-IT"/>
        </w:rPr>
        <w:t>20121 – Milano</w:t>
      </w:r>
    </w:p>
    <w:p w14:paraId="5E527AD7" w14:textId="3753188D" w:rsidR="00DE5334" w:rsidRPr="000A160B" w:rsidRDefault="00DE5334" w:rsidP="009420AF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  <w:r w:rsidRPr="000A160B">
        <w:rPr>
          <w:rFonts w:asciiTheme="minorHAnsi" w:hAnsiTheme="minorHAnsi" w:cstheme="minorHAnsi"/>
          <w:lang w:val="it-IT"/>
        </w:rPr>
        <w:t>(</w:t>
      </w:r>
      <w:r w:rsidR="00D85C4E" w:rsidRPr="000A160B">
        <w:rPr>
          <w:rFonts w:asciiTheme="minorHAnsi" w:hAnsiTheme="minorHAnsi" w:cstheme="minorHAnsi"/>
          <w:lang w:val="it-IT"/>
        </w:rPr>
        <w:t>il</w:t>
      </w:r>
      <w:r w:rsidRPr="000A160B">
        <w:rPr>
          <w:rFonts w:asciiTheme="minorHAnsi" w:hAnsiTheme="minorHAnsi" w:cstheme="minorHAnsi"/>
          <w:lang w:val="it-IT"/>
        </w:rPr>
        <w:t xml:space="preserve"> “</w:t>
      </w:r>
      <w:r w:rsidR="00D85C4E" w:rsidRPr="000A160B">
        <w:rPr>
          <w:rFonts w:asciiTheme="minorHAnsi" w:hAnsiTheme="minorHAnsi" w:cstheme="minorHAnsi"/>
          <w:b/>
          <w:bCs/>
          <w:lang w:val="it-IT"/>
        </w:rPr>
        <w:t>Gestore</w:t>
      </w:r>
      <w:r w:rsidRPr="000A160B">
        <w:rPr>
          <w:rFonts w:asciiTheme="minorHAnsi" w:hAnsiTheme="minorHAnsi" w:cstheme="minorHAnsi"/>
          <w:lang w:val="it-IT"/>
        </w:rPr>
        <w:t>”)</w:t>
      </w:r>
    </w:p>
    <w:p w14:paraId="07B6878F" w14:textId="77777777" w:rsidR="00DE5334" w:rsidRPr="000A160B" w:rsidRDefault="00DE5334" w:rsidP="009420AF">
      <w:pPr>
        <w:spacing w:before="120" w:after="120" w:line="360" w:lineRule="auto"/>
        <w:rPr>
          <w:rFonts w:asciiTheme="minorHAnsi" w:hAnsiTheme="minorHAnsi" w:cstheme="minorHAnsi"/>
          <w:lang w:val="it-IT"/>
        </w:rPr>
      </w:pPr>
    </w:p>
    <w:p w14:paraId="70331E6B" w14:textId="38229151" w:rsidR="00BE66ED" w:rsidRPr="00D85C4E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  <w:r w:rsidRPr="00D85C4E">
        <w:rPr>
          <w:rFonts w:asciiTheme="minorHAnsi" w:hAnsiTheme="minorHAnsi" w:cstheme="minorHAnsi"/>
          <w:b/>
          <w:lang w:val="it-IT"/>
        </w:rPr>
        <w:t xml:space="preserve">Re.: </w:t>
      </w:r>
      <w:r w:rsidR="00D85C4E" w:rsidRPr="00D85C4E">
        <w:rPr>
          <w:rFonts w:asciiTheme="minorHAnsi" w:hAnsiTheme="minorHAnsi" w:cstheme="minorHAnsi"/>
          <w:b/>
          <w:lang w:val="it-IT"/>
        </w:rPr>
        <w:t>Contratto di Capacità</w:t>
      </w:r>
      <w:r w:rsidRPr="00D85C4E">
        <w:rPr>
          <w:rFonts w:asciiTheme="minorHAnsi" w:hAnsiTheme="minorHAnsi" w:cstheme="minorHAnsi"/>
          <w:b/>
          <w:lang w:val="it-IT"/>
        </w:rPr>
        <w:t xml:space="preserve"> </w:t>
      </w:r>
      <w:r w:rsidR="00D85C4E" w:rsidRPr="00D85C4E">
        <w:rPr>
          <w:rFonts w:asciiTheme="minorHAnsi" w:hAnsiTheme="minorHAnsi" w:cstheme="minorHAnsi"/>
          <w:b/>
          <w:lang w:val="it-IT"/>
        </w:rPr>
        <w:t xml:space="preserve">datato </w:t>
      </w:r>
      <w:r w:rsidR="00D85C4E" w:rsidRPr="00D85C4E">
        <w:rPr>
          <w:rFonts w:asciiTheme="minorHAnsi" w:hAnsiTheme="minorHAnsi" w:cstheme="minorHAnsi"/>
          <w:b/>
          <w:highlight w:val="yellow"/>
          <w:lang w:val="it-IT"/>
        </w:rPr>
        <w:t>MM GG</w:t>
      </w:r>
      <w:r w:rsidRPr="00D85C4E">
        <w:rPr>
          <w:rFonts w:asciiTheme="minorHAnsi" w:hAnsiTheme="minorHAnsi" w:cstheme="minorHAnsi"/>
          <w:b/>
          <w:highlight w:val="yellow"/>
          <w:lang w:val="it-IT"/>
        </w:rPr>
        <w:t xml:space="preserve">, </w:t>
      </w:r>
      <w:r w:rsidR="00D85C4E" w:rsidRPr="00D85C4E">
        <w:rPr>
          <w:rFonts w:asciiTheme="minorHAnsi" w:hAnsiTheme="minorHAnsi" w:cstheme="minorHAnsi"/>
          <w:b/>
          <w:highlight w:val="yellow"/>
          <w:lang w:val="it-IT"/>
        </w:rPr>
        <w:t>ANNO</w:t>
      </w:r>
      <w:r w:rsidR="00D85C4E" w:rsidRPr="00D85C4E">
        <w:rPr>
          <w:rFonts w:asciiTheme="minorHAnsi" w:hAnsiTheme="minorHAnsi" w:cstheme="minorHAnsi"/>
          <w:b/>
          <w:lang w:val="it-IT"/>
        </w:rPr>
        <w:t xml:space="preserve"> </w:t>
      </w:r>
      <w:r w:rsidRPr="00D85C4E">
        <w:rPr>
          <w:rFonts w:asciiTheme="minorHAnsi" w:hAnsiTheme="minorHAnsi" w:cstheme="minorHAnsi"/>
          <w:lang w:val="it-IT"/>
        </w:rPr>
        <w:t>(“</w:t>
      </w:r>
      <w:r w:rsidR="00D85C4E" w:rsidRPr="00D85C4E">
        <w:rPr>
          <w:rFonts w:asciiTheme="minorHAnsi" w:hAnsiTheme="minorHAnsi" w:cstheme="minorHAnsi"/>
          <w:b/>
          <w:lang w:val="it-IT"/>
        </w:rPr>
        <w:t>Contratto per la Capacità</w:t>
      </w:r>
      <w:r w:rsidRPr="00D85C4E">
        <w:rPr>
          <w:rFonts w:asciiTheme="minorHAnsi" w:hAnsiTheme="minorHAnsi" w:cstheme="minorHAnsi"/>
          <w:lang w:val="it-IT"/>
        </w:rPr>
        <w:t xml:space="preserve">”) </w:t>
      </w:r>
      <w:r w:rsidRPr="00D85C4E">
        <w:rPr>
          <w:rFonts w:asciiTheme="minorHAnsi" w:hAnsiTheme="minorHAnsi" w:cstheme="minorHAnsi"/>
          <w:b/>
          <w:lang w:val="it-IT"/>
        </w:rPr>
        <w:t xml:space="preserve">– </w:t>
      </w:r>
      <w:r w:rsidR="00D85C4E" w:rsidRPr="00D85C4E">
        <w:rPr>
          <w:rFonts w:asciiTheme="minorHAnsi" w:hAnsiTheme="minorHAnsi" w:cstheme="minorHAnsi"/>
          <w:b/>
          <w:lang w:val="it-IT"/>
        </w:rPr>
        <w:t>Slot di</w:t>
      </w:r>
      <w:r w:rsidR="00D85C4E">
        <w:rPr>
          <w:rFonts w:asciiTheme="minorHAnsi" w:hAnsiTheme="minorHAnsi" w:cstheme="minorHAnsi"/>
          <w:b/>
          <w:lang w:val="it-IT"/>
        </w:rPr>
        <w:t xml:space="preserve"> discarica</w:t>
      </w:r>
      <w:r w:rsidRPr="00D85C4E">
        <w:rPr>
          <w:rFonts w:asciiTheme="minorHAnsi" w:hAnsiTheme="minorHAnsi" w:cstheme="minorHAnsi"/>
          <w:b/>
          <w:lang w:val="it-IT"/>
        </w:rPr>
        <w:t xml:space="preserve"> </w:t>
      </w:r>
      <w:r w:rsidR="00D85C4E">
        <w:rPr>
          <w:rFonts w:asciiTheme="minorHAnsi" w:hAnsiTheme="minorHAnsi" w:cstheme="minorHAnsi"/>
          <w:b/>
          <w:highlight w:val="yellow"/>
          <w:lang w:val="it-IT"/>
        </w:rPr>
        <w:t>MESE GIORNO</w:t>
      </w:r>
      <w:r w:rsidR="00D85C4E" w:rsidRPr="00D85C4E">
        <w:rPr>
          <w:rFonts w:asciiTheme="minorHAnsi" w:hAnsiTheme="minorHAnsi" w:cstheme="minorHAnsi"/>
          <w:b/>
          <w:highlight w:val="yellow"/>
          <w:lang w:val="it-IT"/>
        </w:rPr>
        <w:t xml:space="preserve"> </w:t>
      </w:r>
      <w:r w:rsidRPr="00D85C4E">
        <w:rPr>
          <w:rFonts w:asciiTheme="minorHAnsi" w:hAnsiTheme="minorHAnsi" w:cstheme="minorHAnsi"/>
          <w:b/>
          <w:highlight w:val="yellow"/>
          <w:lang w:val="it-IT"/>
        </w:rPr>
        <w:t>(</w:t>
      </w:r>
      <w:r w:rsidR="00D85C4E">
        <w:rPr>
          <w:rFonts w:asciiTheme="minorHAnsi" w:hAnsiTheme="minorHAnsi" w:cstheme="minorHAnsi"/>
          <w:b/>
          <w:highlight w:val="yellow"/>
          <w:lang w:val="it-IT"/>
        </w:rPr>
        <w:t xml:space="preserve">h </w:t>
      </w:r>
      <w:proofErr w:type="gramStart"/>
      <w:r w:rsidR="00D85C4E">
        <w:rPr>
          <w:rFonts w:asciiTheme="minorHAnsi" w:hAnsiTheme="minorHAnsi" w:cstheme="minorHAnsi"/>
          <w:b/>
          <w:highlight w:val="yellow"/>
          <w:lang w:val="it-IT"/>
        </w:rPr>
        <w:t>XX:XX</w:t>
      </w:r>
      <w:proofErr w:type="gramEnd"/>
      <w:r w:rsidR="00D85C4E">
        <w:rPr>
          <w:rFonts w:asciiTheme="minorHAnsi" w:hAnsiTheme="minorHAnsi" w:cstheme="minorHAnsi"/>
          <w:b/>
          <w:highlight w:val="yellow"/>
          <w:lang w:val="it-IT"/>
        </w:rPr>
        <w:t xml:space="preserve"> </w:t>
      </w:r>
      <w:r w:rsidRPr="00D85C4E">
        <w:rPr>
          <w:rFonts w:asciiTheme="minorHAnsi" w:hAnsiTheme="minorHAnsi" w:cstheme="minorHAnsi"/>
          <w:b/>
          <w:highlight w:val="yellow"/>
          <w:lang w:val="it-IT"/>
        </w:rPr>
        <w:t xml:space="preserve">CET) – </w:t>
      </w:r>
      <w:r w:rsidR="00D85C4E">
        <w:rPr>
          <w:rFonts w:asciiTheme="minorHAnsi" w:hAnsiTheme="minorHAnsi" w:cstheme="minorHAnsi"/>
          <w:b/>
          <w:highlight w:val="yellow"/>
          <w:lang w:val="it-IT"/>
        </w:rPr>
        <w:t>GIORNO</w:t>
      </w:r>
      <w:r w:rsidR="0056547B" w:rsidRPr="00D85C4E">
        <w:rPr>
          <w:rFonts w:asciiTheme="minorHAnsi" w:hAnsiTheme="minorHAnsi" w:cstheme="minorHAnsi"/>
          <w:b/>
          <w:highlight w:val="yellow"/>
          <w:lang w:val="it-IT"/>
        </w:rPr>
        <w:t xml:space="preserve"> </w:t>
      </w:r>
      <w:r w:rsidRPr="00D85C4E">
        <w:rPr>
          <w:rFonts w:asciiTheme="minorHAnsi" w:hAnsiTheme="minorHAnsi" w:cstheme="minorHAnsi"/>
          <w:b/>
          <w:highlight w:val="yellow"/>
          <w:lang w:val="it-IT"/>
        </w:rPr>
        <w:t>(</w:t>
      </w:r>
      <w:r w:rsidR="00D85C4E">
        <w:rPr>
          <w:rFonts w:asciiTheme="minorHAnsi" w:hAnsiTheme="minorHAnsi" w:cstheme="minorHAnsi"/>
          <w:b/>
          <w:highlight w:val="yellow"/>
          <w:lang w:val="it-IT"/>
        </w:rPr>
        <w:t xml:space="preserve">h XX:XX </w:t>
      </w:r>
      <w:r w:rsidRPr="00D85C4E">
        <w:rPr>
          <w:rFonts w:asciiTheme="minorHAnsi" w:hAnsiTheme="minorHAnsi" w:cstheme="minorHAnsi"/>
          <w:b/>
          <w:highlight w:val="yellow"/>
          <w:lang w:val="it-IT"/>
        </w:rPr>
        <w:t xml:space="preserve">CET), </w:t>
      </w:r>
      <w:r w:rsidR="00D85C4E">
        <w:rPr>
          <w:rFonts w:asciiTheme="minorHAnsi" w:hAnsiTheme="minorHAnsi" w:cstheme="minorHAnsi"/>
          <w:b/>
          <w:lang w:val="it-IT"/>
        </w:rPr>
        <w:t>ANNO</w:t>
      </w:r>
      <w:r w:rsidR="00D85C4E" w:rsidRPr="00D85C4E">
        <w:rPr>
          <w:rFonts w:asciiTheme="minorHAnsi" w:hAnsiTheme="minorHAnsi" w:cstheme="minorHAnsi"/>
          <w:b/>
          <w:lang w:val="it-IT"/>
        </w:rPr>
        <w:t xml:space="preserve"> </w:t>
      </w:r>
      <w:r w:rsidRPr="00D85C4E">
        <w:rPr>
          <w:rFonts w:asciiTheme="minorHAnsi" w:hAnsiTheme="minorHAnsi" w:cstheme="minorHAnsi"/>
          <w:lang w:val="it-IT"/>
        </w:rPr>
        <w:t>(“</w:t>
      </w:r>
      <w:r w:rsidR="00D85C4E">
        <w:rPr>
          <w:rFonts w:asciiTheme="minorHAnsi" w:hAnsiTheme="minorHAnsi" w:cstheme="minorHAnsi"/>
          <w:b/>
          <w:lang w:val="it-IT"/>
        </w:rPr>
        <w:t>Slot di Discarica</w:t>
      </w:r>
      <w:r w:rsidRPr="00D85C4E">
        <w:rPr>
          <w:rFonts w:asciiTheme="minorHAnsi" w:hAnsiTheme="minorHAnsi" w:cstheme="minorHAnsi"/>
          <w:lang w:val="it-IT"/>
        </w:rPr>
        <w:t>”)</w:t>
      </w:r>
    </w:p>
    <w:p w14:paraId="754C9FBD" w14:textId="6D50A603" w:rsidR="004347A8" w:rsidRPr="007F7469" w:rsidRDefault="00D85C4E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  <w:r w:rsidRPr="007F7469">
        <w:rPr>
          <w:rFonts w:asciiTheme="minorHAnsi" w:hAnsiTheme="minorHAnsi" w:cstheme="minorHAnsi"/>
          <w:lang w:val="it-IT"/>
        </w:rPr>
        <w:t>Con riferimento al Contratto per la Capacità</w:t>
      </w:r>
      <w:r w:rsidR="00DE7BB9" w:rsidRPr="007F7469">
        <w:rPr>
          <w:rFonts w:asciiTheme="minorHAnsi" w:hAnsiTheme="minorHAnsi" w:cstheme="minorHAnsi"/>
          <w:lang w:val="it-IT"/>
        </w:rPr>
        <w:t xml:space="preserve"> </w:t>
      </w:r>
      <w:r w:rsidR="00F8150D" w:rsidRPr="007F7469">
        <w:rPr>
          <w:rFonts w:asciiTheme="minorHAnsi" w:hAnsiTheme="minorHAnsi" w:cstheme="minorHAnsi"/>
          <w:lang w:val="it-IT"/>
        </w:rPr>
        <w:t>qui incorporato e integralmente richiamato e allo Slot di Discarica</w:t>
      </w:r>
      <w:r w:rsidR="00DE7BB9" w:rsidRPr="007F7469">
        <w:rPr>
          <w:rFonts w:asciiTheme="minorHAnsi" w:hAnsiTheme="minorHAnsi" w:cstheme="minorHAnsi"/>
          <w:highlight w:val="yellow"/>
          <w:lang w:val="it-IT"/>
        </w:rPr>
        <w:t xml:space="preserve">, </w:t>
      </w:r>
      <w:r w:rsidR="00F8150D" w:rsidRPr="007F7469">
        <w:rPr>
          <w:rFonts w:asciiTheme="minorHAnsi" w:hAnsiTheme="minorHAnsi" w:cstheme="minorHAnsi"/>
          <w:b/>
          <w:bCs/>
          <w:highlight w:val="yellow"/>
          <w:lang w:val="it-IT"/>
        </w:rPr>
        <w:t>NOME DELLA SOCIETA’</w:t>
      </w:r>
      <w:r w:rsidR="00DE7BB9" w:rsidRPr="007F7469">
        <w:rPr>
          <w:rFonts w:asciiTheme="minorHAnsi" w:hAnsiTheme="minorHAnsi" w:cstheme="minorHAnsi"/>
          <w:highlight w:val="yellow"/>
          <w:lang w:val="it-IT"/>
        </w:rPr>
        <w:t xml:space="preserve"> (“</w:t>
      </w:r>
      <w:r w:rsidR="00F8150D" w:rsidRPr="007F7469">
        <w:rPr>
          <w:rFonts w:asciiTheme="minorHAnsi" w:hAnsiTheme="minorHAnsi" w:cstheme="minorHAnsi"/>
          <w:b/>
          <w:highlight w:val="yellow"/>
          <w:lang w:val="it-IT"/>
        </w:rPr>
        <w:t>Nome della Società</w:t>
      </w:r>
      <w:r w:rsidR="00DE7BB9" w:rsidRPr="007F7469">
        <w:rPr>
          <w:rFonts w:asciiTheme="minorHAnsi" w:hAnsiTheme="minorHAnsi" w:cstheme="minorHAnsi"/>
          <w:highlight w:val="yellow"/>
          <w:lang w:val="it-IT"/>
        </w:rPr>
        <w:t>”</w:t>
      </w:r>
      <w:r w:rsidR="00457C3E" w:rsidRPr="007F7469">
        <w:rPr>
          <w:rFonts w:asciiTheme="minorHAnsi" w:hAnsiTheme="minorHAnsi" w:cstheme="minorHAnsi"/>
          <w:highlight w:val="yellow"/>
          <w:lang w:val="it-IT"/>
        </w:rPr>
        <w:t xml:space="preserve"> o “</w:t>
      </w:r>
      <w:r w:rsidR="00457C3E" w:rsidRPr="007F7469">
        <w:rPr>
          <w:rFonts w:asciiTheme="minorHAnsi" w:hAnsiTheme="minorHAnsi" w:cstheme="minorHAnsi"/>
          <w:b/>
          <w:bCs/>
          <w:highlight w:val="yellow"/>
          <w:lang w:val="it-IT"/>
        </w:rPr>
        <w:t>U</w:t>
      </w:r>
      <w:r w:rsidR="00F8150D" w:rsidRPr="007F7469">
        <w:rPr>
          <w:rFonts w:asciiTheme="minorHAnsi" w:hAnsiTheme="minorHAnsi" w:cstheme="minorHAnsi"/>
          <w:b/>
          <w:bCs/>
          <w:highlight w:val="yellow"/>
          <w:lang w:val="it-IT"/>
        </w:rPr>
        <w:t>tente</w:t>
      </w:r>
      <w:r w:rsidR="00457C3E" w:rsidRPr="007F7469">
        <w:rPr>
          <w:rFonts w:asciiTheme="minorHAnsi" w:hAnsiTheme="minorHAnsi" w:cstheme="minorHAnsi"/>
          <w:highlight w:val="yellow"/>
          <w:lang w:val="it-IT"/>
        </w:rPr>
        <w:t>”</w:t>
      </w:r>
      <w:r w:rsidR="00DE7BB9" w:rsidRPr="007F7469">
        <w:rPr>
          <w:rFonts w:asciiTheme="minorHAnsi" w:hAnsiTheme="minorHAnsi" w:cstheme="minorHAnsi"/>
          <w:highlight w:val="yellow"/>
          <w:lang w:val="it-IT"/>
        </w:rPr>
        <w:t>),</w:t>
      </w:r>
      <w:r w:rsidR="00DE7BB9" w:rsidRPr="007F7469">
        <w:rPr>
          <w:rFonts w:asciiTheme="minorHAnsi" w:hAnsiTheme="minorHAnsi" w:cstheme="minorHAnsi"/>
          <w:lang w:val="it-IT"/>
        </w:rPr>
        <w:t xml:space="preserve"> </w:t>
      </w:r>
      <w:r w:rsidR="007F7469">
        <w:rPr>
          <w:rFonts w:asciiTheme="minorHAnsi" w:hAnsiTheme="minorHAnsi" w:cstheme="minorHAnsi"/>
          <w:lang w:val="it-IT"/>
        </w:rPr>
        <w:t>nelle sue facoltà di Utente ai sensi del Codice di Rigassificazione</w:t>
      </w:r>
      <w:r w:rsidR="00B93B8E" w:rsidRPr="007F7469">
        <w:rPr>
          <w:rFonts w:asciiTheme="minorHAnsi" w:hAnsiTheme="minorHAnsi" w:cstheme="minorHAnsi"/>
          <w:lang w:val="it-IT"/>
        </w:rPr>
        <w:t xml:space="preserve"> (</w:t>
      </w:r>
      <w:r w:rsidR="007F7469">
        <w:rPr>
          <w:rFonts w:asciiTheme="minorHAnsi" w:hAnsiTheme="minorHAnsi" w:cstheme="minorHAnsi"/>
          <w:lang w:val="it-IT"/>
        </w:rPr>
        <w:t>come definito di seguito</w:t>
      </w:r>
      <w:r w:rsidR="00B93B8E" w:rsidRPr="007F7469">
        <w:rPr>
          <w:rFonts w:asciiTheme="minorHAnsi" w:hAnsiTheme="minorHAnsi" w:cstheme="minorHAnsi"/>
          <w:lang w:val="it-IT"/>
        </w:rPr>
        <w:t xml:space="preserve">), </w:t>
      </w:r>
      <w:r w:rsidR="007F7469" w:rsidRPr="007F7469">
        <w:rPr>
          <w:rFonts w:asciiTheme="minorHAnsi" w:hAnsiTheme="minorHAnsi" w:cstheme="minorHAnsi"/>
          <w:lang w:val="it-IT"/>
        </w:rPr>
        <w:t>concorda con il Gestore i termini e le condizioni del Servizio di Slot Supplementare (come di seguito definito) di cui alla presente lettera (“</w:t>
      </w:r>
      <w:r w:rsidR="007F7469" w:rsidRPr="007F7469">
        <w:rPr>
          <w:rFonts w:asciiTheme="minorHAnsi" w:hAnsiTheme="minorHAnsi" w:cstheme="minorHAnsi"/>
          <w:b/>
          <w:bCs/>
          <w:lang w:val="it-IT"/>
        </w:rPr>
        <w:t>Lettera</w:t>
      </w:r>
      <w:r w:rsidR="007F7469" w:rsidRPr="007F7469">
        <w:rPr>
          <w:rFonts w:asciiTheme="minorHAnsi" w:hAnsiTheme="minorHAnsi" w:cstheme="minorHAnsi"/>
          <w:lang w:val="it-IT"/>
        </w:rPr>
        <w:t>”)</w:t>
      </w:r>
      <w:r w:rsidR="004347A8" w:rsidRPr="007F7469">
        <w:rPr>
          <w:rFonts w:asciiTheme="minorHAnsi" w:hAnsiTheme="minorHAnsi" w:cstheme="minorHAnsi"/>
          <w:lang w:val="it-IT"/>
        </w:rPr>
        <w:t>.</w:t>
      </w:r>
    </w:p>
    <w:p w14:paraId="7422F31E" w14:textId="49FDA113" w:rsidR="00BE66ED" w:rsidRPr="00CA5CAA" w:rsidRDefault="004C6C3D" w:rsidP="00CA5CAA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Premesse</w:t>
      </w:r>
      <w:proofErr w:type="spellEnd"/>
    </w:p>
    <w:p w14:paraId="626A18FE" w14:textId="536889F5" w:rsidR="00C93617" w:rsidRPr="007F7469" w:rsidRDefault="007F7469" w:rsidP="009420A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lang w:val="it-IT"/>
        </w:rPr>
      </w:pPr>
      <w:r w:rsidRPr="007F7469">
        <w:rPr>
          <w:rFonts w:asciiTheme="minorHAnsi" w:hAnsiTheme="minorHAnsi" w:cstheme="minorHAnsi"/>
          <w:lang w:val="it-IT"/>
        </w:rPr>
        <w:t xml:space="preserve">Le dimensioni degli Slot di Discarica non sempre coincidono con la disponibilità delle Navi Metaniere sul mercato del </w:t>
      </w:r>
      <w:r w:rsidR="00BC38FD" w:rsidRPr="007F7469">
        <w:rPr>
          <w:rFonts w:asciiTheme="minorHAnsi" w:hAnsiTheme="minorHAnsi" w:cstheme="minorHAnsi"/>
          <w:lang w:val="it-IT"/>
        </w:rPr>
        <w:t>GNL; pertanto,</w:t>
      </w:r>
      <w:r w:rsidRPr="007F7469">
        <w:rPr>
          <w:rFonts w:asciiTheme="minorHAnsi" w:hAnsiTheme="minorHAnsi" w:cstheme="minorHAnsi"/>
          <w:lang w:val="it-IT"/>
        </w:rPr>
        <w:t xml:space="preserve"> al fine di ottimizzarne l'utilizzo il Gestore offre il Servizio di Slot Supplementare (come di seguito definito)</w:t>
      </w:r>
      <w:r w:rsidR="00C93617" w:rsidRPr="007F7469">
        <w:rPr>
          <w:rFonts w:asciiTheme="minorHAnsi" w:hAnsiTheme="minorHAnsi" w:cstheme="minorHAnsi"/>
          <w:lang w:val="it-IT"/>
        </w:rPr>
        <w:t>;</w:t>
      </w:r>
    </w:p>
    <w:p w14:paraId="52882BEB" w14:textId="59DABCAC" w:rsidR="00BE66ED" w:rsidRPr="007F7469" w:rsidRDefault="007F7469" w:rsidP="009420A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lang w:val="it-IT"/>
        </w:rPr>
      </w:pPr>
      <w:r w:rsidRPr="007F7469">
        <w:rPr>
          <w:rFonts w:asciiTheme="minorHAnsi" w:hAnsiTheme="minorHAnsi" w:cstheme="minorHAnsi"/>
          <w:lang w:val="it-IT"/>
        </w:rPr>
        <w:t xml:space="preserve">Come disposto nel Codice di Rigassificazione, verificato dalla Autorità di Regolazione per Energia Reti e Ambiente </w:t>
      </w:r>
      <w:r w:rsidR="00457C3E" w:rsidRPr="007F7469">
        <w:rPr>
          <w:rFonts w:asciiTheme="minorHAnsi" w:hAnsiTheme="minorHAnsi" w:cstheme="minorHAnsi"/>
          <w:lang w:val="it-IT"/>
        </w:rPr>
        <w:t>(</w:t>
      </w:r>
      <w:r w:rsidR="00E12ACA" w:rsidRPr="007F7469">
        <w:rPr>
          <w:rFonts w:asciiTheme="minorHAnsi" w:hAnsiTheme="minorHAnsi" w:cstheme="minorHAnsi"/>
          <w:lang w:val="it-IT"/>
        </w:rPr>
        <w:t>“</w:t>
      </w:r>
      <w:r w:rsidR="00457C3E" w:rsidRPr="007F7469">
        <w:rPr>
          <w:rFonts w:asciiTheme="minorHAnsi" w:hAnsiTheme="minorHAnsi" w:cstheme="minorHAnsi"/>
          <w:b/>
          <w:bCs/>
          <w:lang w:val="it-IT"/>
        </w:rPr>
        <w:t>ARERA</w:t>
      </w:r>
      <w:r w:rsidR="00E12ACA" w:rsidRPr="007F7469">
        <w:rPr>
          <w:rFonts w:asciiTheme="minorHAnsi" w:hAnsiTheme="minorHAnsi" w:cstheme="minorHAnsi"/>
          <w:lang w:val="it-IT"/>
        </w:rPr>
        <w:t>”</w:t>
      </w:r>
      <w:r w:rsidR="00457C3E" w:rsidRPr="007F7469">
        <w:rPr>
          <w:rFonts w:asciiTheme="minorHAnsi" w:hAnsiTheme="minorHAnsi" w:cstheme="minorHAnsi"/>
          <w:lang w:val="it-IT"/>
        </w:rPr>
        <w:t xml:space="preserve">) </w:t>
      </w:r>
      <w:r w:rsidRPr="007F7469">
        <w:rPr>
          <w:rFonts w:asciiTheme="minorHAnsi" w:hAnsiTheme="minorHAnsi" w:cstheme="minorHAnsi"/>
          <w:lang w:val="it-IT"/>
        </w:rPr>
        <w:t xml:space="preserve">il 12 maggio 2011, con delibera </w:t>
      </w:r>
      <w:r w:rsidR="00457C3E" w:rsidRPr="007F7469">
        <w:rPr>
          <w:rFonts w:asciiTheme="minorHAnsi" w:hAnsiTheme="minorHAnsi" w:cstheme="minorHAnsi"/>
          <w:lang w:val="it-IT"/>
        </w:rPr>
        <w:t xml:space="preserve">ARG/gas 57/11 </w:t>
      </w:r>
      <w:r w:rsidRPr="007F7469">
        <w:rPr>
          <w:rFonts w:asciiTheme="minorHAnsi" w:hAnsiTheme="minorHAnsi" w:cstheme="minorHAnsi"/>
          <w:lang w:val="it-IT"/>
        </w:rPr>
        <w:t xml:space="preserve">ai sensi dell’articolo </w:t>
      </w:r>
      <w:r w:rsidR="00457C3E" w:rsidRPr="007F7469">
        <w:rPr>
          <w:rFonts w:asciiTheme="minorHAnsi" w:hAnsiTheme="minorHAnsi" w:cstheme="minorHAnsi"/>
          <w:lang w:val="it-IT"/>
        </w:rPr>
        <w:t xml:space="preserve">24 </w:t>
      </w:r>
      <w:r w:rsidRPr="007F7469">
        <w:rPr>
          <w:rFonts w:asciiTheme="minorHAnsi" w:hAnsiTheme="minorHAnsi" w:cstheme="minorHAnsi"/>
          <w:lang w:val="it-IT"/>
        </w:rPr>
        <w:t xml:space="preserve">paragrafo </w:t>
      </w:r>
      <w:r w:rsidR="00457C3E" w:rsidRPr="007F7469">
        <w:rPr>
          <w:rFonts w:asciiTheme="minorHAnsi" w:hAnsiTheme="minorHAnsi" w:cstheme="minorHAnsi"/>
          <w:lang w:val="it-IT"/>
        </w:rPr>
        <w:t xml:space="preserve">5 </w:t>
      </w:r>
      <w:r w:rsidRPr="007F7469">
        <w:rPr>
          <w:rFonts w:asciiTheme="minorHAnsi" w:hAnsiTheme="minorHAnsi" w:cstheme="minorHAnsi"/>
          <w:lang w:val="it-IT"/>
        </w:rPr>
        <w:t xml:space="preserve">del Decreto Legislativo </w:t>
      </w:r>
      <w:r w:rsidR="00457C3E" w:rsidRPr="007F7469">
        <w:rPr>
          <w:rFonts w:asciiTheme="minorHAnsi" w:hAnsiTheme="minorHAnsi" w:cstheme="minorHAnsi"/>
          <w:lang w:val="it-IT"/>
        </w:rPr>
        <w:t xml:space="preserve">n. 164 </w:t>
      </w:r>
      <w:r w:rsidRPr="007F7469">
        <w:rPr>
          <w:rFonts w:asciiTheme="minorHAnsi" w:hAnsiTheme="minorHAnsi" w:cstheme="minorHAnsi"/>
          <w:lang w:val="it-IT"/>
        </w:rPr>
        <w:t xml:space="preserve">del </w:t>
      </w:r>
      <w:r w:rsidR="00457C3E" w:rsidRPr="007F7469">
        <w:rPr>
          <w:rFonts w:asciiTheme="minorHAnsi" w:hAnsiTheme="minorHAnsi" w:cstheme="minorHAnsi"/>
          <w:lang w:val="it-IT"/>
        </w:rPr>
        <w:t xml:space="preserve">23 </w:t>
      </w:r>
      <w:r w:rsidRPr="007F7469">
        <w:rPr>
          <w:rFonts w:asciiTheme="minorHAnsi" w:hAnsiTheme="minorHAnsi" w:cstheme="minorHAnsi"/>
          <w:lang w:val="it-IT"/>
        </w:rPr>
        <w:t>maggio</w:t>
      </w:r>
      <w:r w:rsidR="00457C3E" w:rsidRPr="007F7469">
        <w:rPr>
          <w:rFonts w:asciiTheme="minorHAnsi" w:hAnsiTheme="minorHAnsi" w:cstheme="minorHAnsi"/>
          <w:lang w:val="it-IT"/>
        </w:rPr>
        <w:t xml:space="preserve"> 2000 </w:t>
      </w:r>
      <w:r w:rsidRPr="007F7469">
        <w:rPr>
          <w:rFonts w:asciiTheme="minorHAnsi" w:hAnsiTheme="minorHAnsi" w:cstheme="minorHAnsi"/>
          <w:lang w:val="it-IT"/>
        </w:rPr>
        <w:t xml:space="preserve">e di seguito aggiornato di volta in volta </w:t>
      </w:r>
      <w:r w:rsidR="008D7987" w:rsidRPr="007F7469">
        <w:rPr>
          <w:rFonts w:asciiTheme="minorHAnsi" w:hAnsiTheme="minorHAnsi" w:cstheme="minorHAnsi"/>
          <w:lang w:val="it-IT"/>
        </w:rPr>
        <w:t>(</w:t>
      </w:r>
      <w:r w:rsidRPr="007F7469">
        <w:rPr>
          <w:rFonts w:asciiTheme="minorHAnsi" w:hAnsiTheme="minorHAnsi" w:cstheme="minorHAnsi"/>
          <w:lang w:val="it-IT"/>
        </w:rPr>
        <w:t>il</w:t>
      </w:r>
      <w:r w:rsidR="004C6C3D">
        <w:rPr>
          <w:rFonts w:asciiTheme="minorHAnsi" w:hAnsiTheme="minorHAnsi" w:cstheme="minorHAnsi"/>
          <w:lang w:val="it-IT"/>
        </w:rPr>
        <w:t xml:space="preserve"> </w:t>
      </w:r>
      <w:r w:rsidR="008D7987" w:rsidRPr="007F7469">
        <w:rPr>
          <w:rFonts w:asciiTheme="minorHAnsi" w:hAnsiTheme="minorHAnsi" w:cstheme="minorHAnsi"/>
          <w:lang w:val="it-IT"/>
        </w:rPr>
        <w:t>“</w:t>
      </w:r>
      <w:r w:rsidRPr="007F7469">
        <w:rPr>
          <w:rFonts w:asciiTheme="minorHAnsi" w:hAnsiTheme="minorHAnsi" w:cstheme="minorHAnsi"/>
          <w:b/>
          <w:bCs/>
          <w:lang w:val="it-IT"/>
        </w:rPr>
        <w:t>Codice di Rigassificazio</w:t>
      </w:r>
      <w:r>
        <w:rPr>
          <w:rFonts w:asciiTheme="minorHAnsi" w:hAnsiTheme="minorHAnsi" w:cstheme="minorHAnsi"/>
          <w:b/>
          <w:bCs/>
          <w:lang w:val="it-IT"/>
        </w:rPr>
        <w:t>ne</w:t>
      </w:r>
      <w:r w:rsidR="008D7987" w:rsidRPr="007F7469">
        <w:rPr>
          <w:rFonts w:asciiTheme="minorHAnsi" w:hAnsiTheme="minorHAnsi" w:cstheme="minorHAnsi"/>
          <w:lang w:val="it-IT"/>
        </w:rPr>
        <w:t>”)</w:t>
      </w:r>
      <w:r w:rsidR="00457C3E" w:rsidRPr="007F7469">
        <w:rPr>
          <w:rFonts w:asciiTheme="minorHAnsi" w:hAnsiTheme="minorHAnsi" w:cstheme="minorHAnsi"/>
          <w:lang w:val="it-IT"/>
        </w:rPr>
        <w:t xml:space="preserve">, </w:t>
      </w:r>
      <w:r>
        <w:rPr>
          <w:rFonts w:asciiTheme="minorHAnsi" w:hAnsiTheme="minorHAnsi" w:cstheme="minorHAnsi"/>
          <w:lang w:val="it-IT"/>
        </w:rPr>
        <w:t xml:space="preserve">e al fine di ottimizzare l’utilizzo dello Slot di Discarica e della capacità di rigassificazione associata </w:t>
      </w:r>
      <w:r w:rsidR="005A7E30" w:rsidRPr="007F7469">
        <w:rPr>
          <w:rFonts w:asciiTheme="minorHAnsi" w:hAnsiTheme="minorHAnsi" w:cstheme="minorHAnsi"/>
          <w:lang w:val="it-IT"/>
        </w:rPr>
        <w:t>(</w:t>
      </w:r>
      <w:proofErr w:type="spellStart"/>
      <w:r w:rsidR="005A7E30" w:rsidRPr="007F7469">
        <w:rPr>
          <w:rFonts w:asciiTheme="minorHAnsi" w:hAnsiTheme="minorHAnsi" w:cstheme="minorHAnsi"/>
          <w:lang w:val="it-IT"/>
        </w:rPr>
        <w:t>i.e</w:t>
      </w:r>
      <w:proofErr w:type="spellEnd"/>
      <w:r w:rsidR="005A7E30" w:rsidRPr="007F7469">
        <w:rPr>
          <w:rFonts w:asciiTheme="minorHAnsi" w:hAnsiTheme="minorHAnsi" w:cstheme="minorHAnsi"/>
          <w:lang w:val="it-IT"/>
        </w:rPr>
        <w:t>:</w:t>
      </w:r>
      <w:r w:rsidR="00DE7BB9" w:rsidRPr="007F7469">
        <w:rPr>
          <w:rFonts w:asciiTheme="minorHAnsi" w:hAnsiTheme="minorHAnsi" w:cstheme="minorHAnsi"/>
          <w:lang w:val="it-IT"/>
        </w:rPr>
        <w:t xml:space="preserve"> </w:t>
      </w:r>
      <w:r w:rsidR="0016339D" w:rsidRPr="007F7469">
        <w:rPr>
          <w:rFonts w:asciiTheme="minorHAnsi" w:hAnsiTheme="minorHAnsi" w:cstheme="minorHAnsi"/>
          <w:highlight w:val="yellow"/>
          <w:lang w:val="it-IT"/>
        </w:rPr>
        <w:t>XXX</w:t>
      </w:r>
      <w:r w:rsidR="00DE7BB9" w:rsidRPr="007F7469">
        <w:rPr>
          <w:rFonts w:asciiTheme="minorHAnsi" w:hAnsiTheme="minorHAnsi" w:cstheme="minorHAnsi"/>
          <w:highlight w:val="yellow"/>
          <w:lang w:val="it-IT"/>
        </w:rPr>
        <w:t xml:space="preserve">,000 </w:t>
      </w:r>
      <w:r>
        <w:rPr>
          <w:rFonts w:asciiTheme="minorHAnsi" w:hAnsiTheme="minorHAnsi" w:cstheme="minorHAnsi"/>
          <w:highlight w:val="yellow"/>
          <w:lang w:val="it-IT"/>
        </w:rPr>
        <w:t>mcl</w:t>
      </w:r>
      <w:r w:rsidR="00DE7BB9" w:rsidRPr="007F7469">
        <w:rPr>
          <w:rFonts w:asciiTheme="minorHAnsi" w:hAnsiTheme="minorHAnsi" w:cstheme="minorHAnsi"/>
          <w:highlight w:val="yellow"/>
          <w:lang w:val="it-IT"/>
        </w:rPr>
        <w:t>)</w:t>
      </w:r>
      <w:r w:rsidR="00457C3E" w:rsidRPr="007F7469">
        <w:rPr>
          <w:rFonts w:asciiTheme="minorHAnsi" w:hAnsiTheme="minorHAnsi" w:cstheme="minorHAnsi"/>
          <w:highlight w:val="yellow"/>
          <w:lang w:val="it-IT"/>
        </w:rPr>
        <w:t>,</w:t>
      </w:r>
      <w:r w:rsidR="00DE7BB9" w:rsidRPr="007F7469">
        <w:rPr>
          <w:rFonts w:asciiTheme="minorHAnsi" w:hAnsiTheme="minorHAnsi" w:cstheme="minorHAnsi"/>
          <w:highlight w:val="yellow"/>
          <w:lang w:val="it-IT"/>
        </w:rPr>
        <w:t xml:space="preserve"> </w:t>
      </w:r>
      <w:r w:rsidRPr="007F7469">
        <w:rPr>
          <w:rFonts w:asciiTheme="minorHAnsi" w:hAnsiTheme="minorHAnsi" w:cstheme="minorHAnsi"/>
          <w:b/>
          <w:bCs/>
          <w:highlight w:val="yellow"/>
          <w:lang w:val="it-IT"/>
        </w:rPr>
        <w:t>NOME DELLA SOCIETA’</w:t>
      </w:r>
      <w:r w:rsidRPr="007F7469">
        <w:rPr>
          <w:rFonts w:asciiTheme="minorHAnsi" w:hAnsiTheme="minorHAnsi" w:cstheme="minorHAnsi"/>
          <w:highlight w:val="yellow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in data</w:t>
      </w:r>
      <w:r w:rsidR="00A54000" w:rsidRPr="007F7469">
        <w:rPr>
          <w:rFonts w:asciiTheme="minorHAnsi" w:hAnsiTheme="minorHAnsi" w:cstheme="minorHAnsi"/>
          <w:lang w:val="it-IT"/>
        </w:rPr>
        <w:t xml:space="preserve"> </w:t>
      </w:r>
      <w:r w:rsidR="00A54000" w:rsidRPr="007F7469">
        <w:rPr>
          <w:rFonts w:asciiTheme="minorHAnsi" w:hAnsiTheme="minorHAnsi" w:cstheme="minorHAnsi"/>
          <w:highlight w:val="yellow"/>
          <w:lang w:val="it-IT"/>
        </w:rPr>
        <w:t>[</w:t>
      </w:r>
      <w:r>
        <w:rPr>
          <w:rFonts w:asciiTheme="minorHAnsi" w:hAnsiTheme="minorHAnsi" w:cstheme="minorHAnsi"/>
          <w:highlight w:val="yellow"/>
          <w:lang w:val="it-IT"/>
        </w:rPr>
        <w:t>GG</w:t>
      </w:r>
      <w:r w:rsidR="003410F9" w:rsidRPr="007F7469">
        <w:rPr>
          <w:rFonts w:asciiTheme="minorHAnsi" w:hAnsiTheme="minorHAnsi" w:cstheme="minorHAnsi"/>
          <w:highlight w:val="yellow"/>
          <w:lang w:val="it-IT"/>
        </w:rPr>
        <w:t>/MM/</w:t>
      </w:r>
      <w:r>
        <w:rPr>
          <w:rFonts w:asciiTheme="minorHAnsi" w:hAnsiTheme="minorHAnsi" w:cstheme="minorHAnsi"/>
          <w:highlight w:val="yellow"/>
          <w:lang w:val="it-IT"/>
        </w:rPr>
        <w:t>AAAA</w:t>
      </w:r>
      <w:r w:rsidR="00A54000" w:rsidRPr="007F7469">
        <w:rPr>
          <w:rFonts w:asciiTheme="minorHAnsi" w:hAnsiTheme="minorHAnsi" w:cstheme="minorHAnsi"/>
          <w:highlight w:val="yellow"/>
          <w:lang w:val="it-IT"/>
        </w:rPr>
        <w:t>]</w:t>
      </w:r>
      <w:r w:rsidR="00642604" w:rsidRPr="007F746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ha sottoposto al Gestore una Richiesta di Slot Supplementare al fine di fornire il volume di GNL totale previsto, attraverso due navi metaniere c</w:t>
      </w:r>
      <w:r w:rsidRPr="00DF6894">
        <w:rPr>
          <w:rFonts w:asciiTheme="minorHAnsi" w:hAnsiTheme="minorHAnsi" w:cstheme="minorHAnsi"/>
          <w:lang w:val="it-IT"/>
        </w:rPr>
        <w:t>onsecutive, in due slot di discarica consecutivi</w:t>
      </w:r>
      <w:r>
        <w:rPr>
          <w:rFonts w:asciiTheme="minorHAnsi" w:hAnsiTheme="minorHAnsi" w:cstheme="minorHAnsi"/>
          <w:lang w:val="it-IT"/>
        </w:rPr>
        <w:t xml:space="preserve"> </w:t>
      </w:r>
      <w:r w:rsidR="00DE7BB9" w:rsidRPr="007F7469">
        <w:rPr>
          <w:rFonts w:asciiTheme="minorHAnsi" w:hAnsiTheme="minorHAnsi" w:cstheme="minorHAnsi"/>
          <w:lang w:val="it-IT"/>
        </w:rPr>
        <w:t>(i</w:t>
      </w:r>
      <w:r w:rsidR="009D2654" w:rsidRPr="007F7469">
        <w:rPr>
          <w:rFonts w:asciiTheme="minorHAnsi" w:hAnsiTheme="minorHAnsi" w:cstheme="minorHAnsi"/>
          <w:lang w:val="it-IT"/>
        </w:rPr>
        <w:t>.</w:t>
      </w:r>
      <w:r w:rsidR="00DE7BB9" w:rsidRPr="007F7469">
        <w:rPr>
          <w:rFonts w:asciiTheme="minorHAnsi" w:hAnsiTheme="minorHAnsi" w:cstheme="minorHAnsi"/>
          <w:lang w:val="it-IT"/>
        </w:rPr>
        <w:t xml:space="preserve">e. </w:t>
      </w:r>
      <w:r>
        <w:rPr>
          <w:rFonts w:asciiTheme="minorHAnsi" w:hAnsiTheme="minorHAnsi" w:cstheme="minorHAnsi"/>
          <w:lang w:val="it-IT"/>
        </w:rPr>
        <w:t xml:space="preserve">prima discarica pari a </w:t>
      </w:r>
      <w:r w:rsidR="00DE7BB9" w:rsidRPr="007F7469">
        <w:rPr>
          <w:rFonts w:asciiTheme="minorHAnsi" w:hAnsiTheme="minorHAnsi" w:cstheme="minorHAnsi"/>
          <w:lang w:val="it-IT"/>
        </w:rPr>
        <w:t xml:space="preserve"> </w:t>
      </w:r>
      <w:r w:rsidR="0016339D" w:rsidRPr="007F7469">
        <w:rPr>
          <w:rFonts w:asciiTheme="minorHAnsi" w:hAnsiTheme="minorHAnsi" w:cstheme="minorHAnsi"/>
          <w:highlight w:val="yellow"/>
          <w:lang w:val="it-IT"/>
        </w:rPr>
        <w:t>XXX</w:t>
      </w:r>
      <w:r w:rsidR="00FF6677" w:rsidRPr="007F7469">
        <w:rPr>
          <w:rFonts w:asciiTheme="minorHAnsi" w:hAnsiTheme="minorHAnsi" w:cstheme="minorHAnsi"/>
          <w:highlight w:val="yellow"/>
          <w:lang w:val="it-IT"/>
        </w:rPr>
        <w:t>,000</w:t>
      </w:r>
      <w:r w:rsidR="00B612FE" w:rsidRPr="007F7469">
        <w:rPr>
          <w:rFonts w:asciiTheme="minorHAnsi" w:hAnsiTheme="minorHAnsi" w:cstheme="minorHAnsi"/>
          <w:lang w:val="it-IT"/>
        </w:rPr>
        <w:t xml:space="preserve"> </w:t>
      </w:r>
      <w:r w:rsidR="00DE7BB9" w:rsidRPr="007F7469">
        <w:rPr>
          <w:rFonts w:asciiTheme="minorHAnsi" w:hAnsiTheme="minorHAnsi" w:cstheme="minorHAnsi"/>
          <w:lang w:val="it-IT"/>
        </w:rPr>
        <w:t>m</w:t>
      </w:r>
      <w:r>
        <w:rPr>
          <w:rFonts w:asciiTheme="minorHAnsi" w:hAnsiTheme="minorHAnsi" w:cstheme="minorHAnsi"/>
          <w:lang w:val="it-IT"/>
        </w:rPr>
        <w:t xml:space="preserve">cl e seconda discarica pari a </w:t>
      </w:r>
      <w:r w:rsidR="007E6BD8" w:rsidRPr="007F7469">
        <w:rPr>
          <w:rFonts w:asciiTheme="minorHAnsi" w:hAnsiTheme="minorHAnsi" w:cstheme="minorHAnsi"/>
          <w:highlight w:val="yellow"/>
          <w:lang w:val="it-IT"/>
        </w:rPr>
        <w:t>X</w:t>
      </w:r>
      <w:r w:rsidR="0016339D" w:rsidRPr="007F7469">
        <w:rPr>
          <w:rFonts w:asciiTheme="minorHAnsi" w:hAnsiTheme="minorHAnsi" w:cstheme="minorHAnsi"/>
          <w:highlight w:val="yellow"/>
          <w:lang w:val="it-IT"/>
        </w:rPr>
        <w:t>XX</w:t>
      </w:r>
      <w:r w:rsidR="00B612FE" w:rsidRPr="007F7469">
        <w:rPr>
          <w:rFonts w:asciiTheme="minorHAnsi" w:hAnsiTheme="minorHAnsi" w:cstheme="minorHAnsi"/>
          <w:highlight w:val="yellow"/>
          <w:lang w:val="it-IT"/>
        </w:rPr>
        <w:t>,000</w:t>
      </w:r>
      <w:r w:rsidR="00DE7BB9" w:rsidRPr="007F7469">
        <w:rPr>
          <w:rFonts w:asciiTheme="minorHAnsi" w:hAnsiTheme="minorHAnsi" w:cstheme="minorHAnsi"/>
          <w:lang w:val="it-IT"/>
        </w:rPr>
        <w:t xml:space="preserve"> m</w:t>
      </w:r>
      <w:r>
        <w:rPr>
          <w:rFonts w:asciiTheme="minorHAnsi" w:hAnsiTheme="minorHAnsi" w:cstheme="minorHAnsi"/>
          <w:lang w:val="it-IT"/>
        </w:rPr>
        <w:t>cl</w:t>
      </w:r>
      <w:r w:rsidR="00DE7BB9" w:rsidRPr="007F7469">
        <w:rPr>
          <w:rFonts w:asciiTheme="minorHAnsi" w:hAnsiTheme="minorHAnsi" w:cstheme="minorHAnsi"/>
          <w:lang w:val="it-IT"/>
        </w:rPr>
        <w:t xml:space="preserve">) </w:t>
      </w:r>
      <w:r>
        <w:rPr>
          <w:rFonts w:asciiTheme="minorHAnsi" w:hAnsiTheme="minorHAnsi" w:cstheme="minorHAnsi"/>
          <w:lang w:val="it-IT"/>
        </w:rPr>
        <w:t>piuttosto che con una singola nave metaniera, durante lo Slot di Discarica;</w:t>
      </w:r>
      <w:r w:rsidR="008D7987" w:rsidRPr="007F7469">
        <w:rPr>
          <w:rFonts w:asciiTheme="minorHAnsi" w:hAnsiTheme="minorHAnsi" w:cstheme="minorHAnsi"/>
          <w:lang w:val="it-IT"/>
        </w:rPr>
        <w:t xml:space="preserve"> </w:t>
      </w:r>
    </w:p>
    <w:p w14:paraId="4D09A6EB" w14:textId="5BBB18F7" w:rsidR="00BE66ED" w:rsidRPr="007614E8" w:rsidRDefault="007F7469" w:rsidP="009420A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lang w:val="it-IT"/>
        </w:rPr>
      </w:pPr>
      <w:r w:rsidRPr="007614E8">
        <w:rPr>
          <w:rFonts w:asciiTheme="minorHAnsi" w:hAnsiTheme="minorHAnsi" w:cstheme="minorHAnsi"/>
          <w:lang w:val="it-IT"/>
        </w:rPr>
        <w:t xml:space="preserve">Il Gestore ha confermato la sua disponibilità </w:t>
      </w:r>
      <w:r w:rsidR="007614E8" w:rsidRPr="007614E8">
        <w:rPr>
          <w:rFonts w:asciiTheme="minorHAnsi" w:hAnsiTheme="minorHAnsi" w:cstheme="minorHAnsi"/>
          <w:lang w:val="it-IT"/>
        </w:rPr>
        <w:t>a fornire il suddetto servizio relativamente allo Slot di Discarica</w:t>
      </w:r>
      <w:r w:rsidR="00A46B50" w:rsidRPr="007614E8">
        <w:rPr>
          <w:rFonts w:asciiTheme="minorHAnsi" w:hAnsiTheme="minorHAnsi" w:cstheme="minorHAnsi"/>
          <w:lang w:val="it-IT"/>
        </w:rPr>
        <w:t xml:space="preserve"> (</w:t>
      </w:r>
      <w:r w:rsidR="007614E8" w:rsidRPr="007614E8">
        <w:rPr>
          <w:rFonts w:asciiTheme="minorHAnsi" w:hAnsiTheme="minorHAnsi" w:cstheme="minorHAnsi"/>
          <w:lang w:val="it-IT"/>
        </w:rPr>
        <w:t>i</w:t>
      </w:r>
      <w:r w:rsidR="007614E8">
        <w:rPr>
          <w:rFonts w:asciiTheme="minorHAnsi" w:hAnsiTheme="minorHAnsi" w:cstheme="minorHAnsi"/>
          <w:lang w:val="it-IT"/>
        </w:rPr>
        <w:t>l</w:t>
      </w:r>
      <w:r w:rsidR="00A46B50" w:rsidRPr="007614E8">
        <w:rPr>
          <w:rFonts w:asciiTheme="minorHAnsi" w:hAnsiTheme="minorHAnsi" w:cstheme="minorHAnsi"/>
          <w:lang w:val="it-IT"/>
        </w:rPr>
        <w:t xml:space="preserve"> “</w:t>
      </w:r>
      <w:r w:rsidR="007614E8">
        <w:rPr>
          <w:rFonts w:asciiTheme="minorHAnsi" w:hAnsiTheme="minorHAnsi" w:cstheme="minorHAnsi"/>
          <w:b/>
          <w:bCs/>
          <w:lang w:val="it-IT"/>
        </w:rPr>
        <w:t>Servizio di Slot Supplementare</w:t>
      </w:r>
      <w:r w:rsidR="00A46B50" w:rsidRPr="007614E8">
        <w:rPr>
          <w:rFonts w:asciiTheme="minorHAnsi" w:hAnsiTheme="minorHAnsi" w:cstheme="minorHAnsi"/>
          <w:lang w:val="it-IT"/>
        </w:rPr>
        <w:t>”)</w:t>
      </w:r>
      <w:r w:rsidR="009D2654" w:rsidRPr="007614E8">
        <w:rPr>
          <w:rFonts w:asciiTheme="minorHAnsi" w:hAnsiTheme="minorHAnsi" w:cstheme="minorHAnsi"/>
          <w:lang w:val="it-IT"/>
        </w:rPr>
        <w:t>,</w:t>
      </w:r>
      <w:r w:rsidR="00DE7BB9" w:rsidRPr="007614E8">
        <w:rPr>
          <w:rFonts w:asciiTheme="minorHAnsi" w:hAnsiTheme="minorHAnsi" w:cstheme="minorHAnsi"/>
          <w:lang w:val="it-IT"/>
        </w:rPr>
        <w:t xml:space="preserve"> </w:t>
      </w:r>
      <w:r w:rsidR="007614E8">
        <w:rPr>
          <w:rFonts w:asciiTheme="minorHAnsi" w:hAnsiTheme="minorHAnsi" w:cstheme="minorHAnsi"/>
          <w:lang w:val="it-IT"/>
        </w:rPr>
        <w:t>soggetto a specifiche condizioni come indicat</w:t>
      </w:r>
      <w:r w:rsidR="0063276A">
        <w:rPr>
          <w:rFonts w:asciiTheme="minorHAnsi" w:hAnsiTheme="minorHAnsi" w:cstheme="minorHAnsi"/>
          <w:lang w:val="it-IT"/>
        </w:rPr>
        <w:t>o</w:t>
      </w:r>
      <w:r w:rsidR="007614E8">
        <w:rPr>
          <w:rFonts w:asciiTheme="minorHAnsi" w:hAnsiTheme="minorHAnsi" w:cstheme="minorHAnsi"/>
          <w:lang w:val="it-IT"/>
        </w:rPr>
        <w:t xml:space="preserve"> in questa Lettera e cui l’Utente deve sottostare; e </w:t>
      </w:r>
    </w:p>
    <w:p w14:paraId="06556954" w14:textId="0974902E" w:rsidR="00BE66ED" w:rsidRPr="009F401D" w:rsidRDefault="000A160B" w:rsidP="009420AF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  <w:lang w:val="it-IT"/>
        </w:rPr>
      </w:pPr>
      <w:r w:rsidRPr="009F401D">
        <w:rPr>
          <w:rFonts w:asciiTheme="minorHAnsi" w:hAnsiTheme="minorHAnsi" w:cstheme="minorHAnsi"/>
          <w:lang w:val="it-IT"/>
        </w:rPr>
        <w:lastRenderedPageBreak/>
        <w:t xml:space="preserve">Il Gestore ha accuratamente illustrato alla </w:t>
      </w:r>
      <w:r w:rsidRPr="009F401D">
        <w:rPr>
          <w:rFonts w:asciiTheme="minorHAnsi" w:hAnsiTheme="minorHAnsi" w:cstheme="minorHAnsi"/>
          <w:b/>
          <w:bCs/>
          <w:highlight w:val="yellow"/>
          <w:lang w:val="it-IT"/>
        </w:rPr>
        <w:t>NOME DELLA SOCIETA’</w:t>
      </w:r>
      <w:r w:rsidRPr="009F401D">
        <w:rPr>
          <w:rFonts w:asciiTheme="minorHAnsi" w:hAnsiTheme="minorHAnsi" w:cstheme="minorHAnsi"/>
          <w:lang w:val="it-IT"/>
        </w:rPr>
        <w:t xml:space="preserve">, </w:t>
      </w:r>
      <w:r w:rsidR="009F401D" w:rsidRPr="009F401D">
        <w:rPr>
          <w:rFonts w:asciiTheme="minorHAnsi" w:hAnsiTheme="minorHAnsi" w:cstheme="minorHAnsi"/>
          <w:lang w:val="it-IT"/>
        </w:rPr>
        <w:t>e quest’ultima ha</w:t>
      </w:r>
      <w:r w:rsidR="009F401D" w:rsidRPr="009F401D">
        <w:rPr>
          <w:lang w:val="it-IT"/>
        </w:rPr>
        <w:t xml:space="preserve"> </w:t>
      </w:r>
      <w:r w:rsidR="009F401D" w:rsidRPr="009F401D">
        <w:rPr>
          <w:rFonts w:asciiTheme="minorHAnsi" w:hAnsiTheme="minorHAnsi" w:cstheme="minorHAnsi"/>
          <w:lang w:val="it-IT"/>
        </w:rPr>
        <w:t>debitamente preso in considerazione e concordato</w:t>
      </w:r>
      <w:r w:rsidR="00DE7BB9" w:rsidRPr="009F401D">
        <w:rPr>
          <w:rFonts w:asciiTheme="minorHAnsi" w:hAnsiTheme="minorHAnsi" w:cstheme="minorHAnsi"/>
          <w:lang w:val="it-IT"/>
        </w:rPr>
        <w:t xml:space="preserve">, </w:t>
      </w:r>
      <w:r w:rsidR="009F401D">
        <w:rPr>
          <w:rFonts w:asciiTheme="minorHAnsi" w:hAnsiTheme="minorHAnsi" w:cstheme="minorHAnsi"/>
          <w:lang w:val="it-IT"/>
        </w:rPr>
        <w:t xml:space="preserve">le condizioni logistiche ed operative, i requisiti e gli obblighi addizionali relativi al Servizio di Slot Supplementare, </w:t>
      </w:r>
      <w:r w:rsidR="00FD5B81">
        <w:rPr>
          <w:rFonts w:asciiTheme="minorHAnsi" w:hAnsiTheme="minorHAnsi" w:cstheme="minorHAnsi"/>
          <w:lang w:val="it-IT"/>
        </w:rPr>
        <w:t>in accordo alle disposizioni del Codice di Rigassificazione e di questa stessa Lettera, come disposto sotto</w:t>
      </w:r>
      <w:r w:rsidR="00DE7BB9" w:rsidRPr="009F401D">
        <w:rPr>
          <w:rFonts w:asciiTheme="minorHAnsi" w:hAnsiTheme="minorHAnsi" w:cstheme="minorHAnsi"/>
          <w:lang w:val="it-IT"/>
        </w:rPr>
        <w:t>.</w:t>
      </w:r>
    </w:p>
    <w:p w14:paraId="1189A6B7" w14:textId="77777777" w:rsidR="004C6C3D" w:rsidRDefault="004C6C3D" w:rsidP="00CA5CAA">
      <w:pPr>
        <w:spacing w:before="120" w:after="120" w:line="360" w:lineRule="auto"/>
        <w:jc w:val="both"/>
        <w:rPr>
          <w:rFonts w:asciiTheme="minorHAnsi" w:hAnsiTheme="minorHAnsi" w:cstheme="minorHAnsi"/>
          <w:b/>
          <w:lang w:val="it-IT"/>
        </w:rPr>
      </w:pPr>
    </w:p>
    <w:p w14:paraId="15B67AD5" w14:textId="2B425A93" w:rsidR="00BE66ED" w:rsidRPr="00F55348" w:rsidRDefault="00FD5B81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  <w:r w:rsidRPr="00F55348">
        <w:rPr>
          <w:rFonts w:asciiTheme="minorHAnsi" w:hAnsiTheme="minorHAnsi" w:cstheme="minorHAnsi"/>
          <w:b/>
          <w:lang w:val="it-IT"/>
        </w:rPr>
        <w:t>Ora</w:t>
      </w:r>
      <w:r w:rsidR="00DE7BB9" w:rsidRPr="00F55348">
        <w:rPr>
          <w:rFonts w:asciiTheme="minorHAnsi" w:hAnsiTheme="minorHAnsi" w:cstheme="minorHAnsi"/>
          <w:b/>
          <w:lang w:val="it-IT"/>
        </w:rPr>
        <w:t xml:space="preserve">, </w:t>
      </w:r>
      <w:r w:rsidRPr="00F55348">
        <w:rPr>
          <w:rFonts w:asciiTheme="minorHAnsi" w:hAnsiTheme="minorHAnsi" w:cstheme="minorHAnsi"/>
          <w:b/>
          <w:lang w:val="it-IT"/>
        </w:rPr>
        <w:t>quindi</w:t>
      </w:r>
      <w:r w:rsidR="00DE7BB9" w:rsidRPr="00F55348">
        <w:rPr>
          <w:rFonts w:asciiTheme="minorHAnsi" w:hAnsiTheme="minorHAnsi" w:cstheme="minorHAnsi"/>
          <w:lang w:val="it-IT"/>
        </w:rPr>
        <w:t xml:space="preserve">, </w:t>
      </w:r>
      <w:r w:rsidR="00F55348" w:rsidRPr="00F55348">
        <w:rPr>
          <w:rFonts w:asciiTheme="minorHAnsi" w:hAnsiTheme="minorHAnsi" w:cstheme="minorHAnsi"/>
          <w:lang w:val="it-IT"/>
        </w:rPr>
        <w:t>in considerazione di quanto sopra premesso (</w:t>
      </w:r>
      <w:r w:rsidR="004C6C3D">
        <w:rPr>
          <w:rFonts w:asciiTheme="minorHAnsi" w:hAnsiTheme="minorHAnsi" w:cstheme="minorHAnsi"/>
          <w:lang w:val="it-IT"/>
        </w:rPr>
        <w:t xml:space="preserve">e </w:t>
      </w:r>
      <w:r w:rsidR="00F55348" w:rsidRPr="00F55348">
        <w:rPr>
          <w:rFonts w:asciiTheme="minorHAnsi" w:hAnsiTheme="minorHAnsi" w:cstheme="minorHAnsi"/>
          <w:lang w:val="it-IT"/>
        </w:rPr>
        <w:t xml:space="preserve">che ne costituisce parte integrante) la </w:t>
      </w:r>
      <w:r w:rsidR="00F55348" w:rsidRPr="009F401D">
        <w:rPr>
          <w:rFonts w:asciiTheme="minorHAnsi" w:hAnsiTheme="minorHAnsi" w:cstheme="minorHAnsi"/>
          <w:b/>
          <w:bCs/>
          <w:highlight w:val="yellow"/>
          <w:lang w:val="it-IT"/>
        </w:rPr>
        <w:t>NOME DELLA SOCIETA’</w:t>
      </w:r>
      <w:r w:rsidR="00F55348" w:rsidRPr="009F401D">
        <w:rPr>
          <w:rFonts w:asciiTheme="minorHAnsi" w:hAnsiTheme="minorHAnsi" w:cstheme="minorHAnsi"/>
          <w:highlight w:val="yellow"/>
          <w:lang w:val="it-IT"/>
        </w:rPr>
        <w:t xml:space="preserve"> </w:t>
      </w:r>
      <w:r w:rsidR="00F55348" w:rsidRPr="00F55348">
        <w:rPr>
          <w:rFonts w:asciiTheme="minorHAnsi" w:hAnsiTheme="minorHAnsi" w:cstheme="minorHAnsi"/>
          <w:lang w:val="it-IT"/>
        </w:rPr>
        <w:t>ed il Gestore riconoscono e convengono quanto segue:</w:t>
      </w:r>
    </w:p>
    <w:p w14:paraId="1EF52DEF" w14:textId="7EE25922" w:rsidR="005C0620" w:rsidRPr="00F55348" w:rsidRDefault="004C6C3D" w:rsidP="009420AF">
      <w:pPr>
        <w:pStyle w:val="ListParagraph"/>
        <w:numPr>
          <w:ilvl w:val="0"/>
          <w:numId w:val="2"/>
        </w:numPr>
        <w:spacing w:before="120" w:after="120" w:line="360" w:lineRule="auto"/>
        <w:ind w:left="284" w:hanging="142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 w:cstheme="minorHAnsi"/>
          <w:lang w:val="it-IT"/>
        </w:rPr>
        <w:t>s</w:t>
      </w:r>
      <w:r w:rsidR="00F55348" w:rsidRPr="00F55348">
        <w:rPr>
          <w:rFonts w:asciiTheme="minorHAnsi" w:hAnsiTheme="minorHAnsi" w:cstheme="minorHAnsi"/>
          <w:lang w:val="it-IT"/>
        </w:rPr>
        <w:t>alvo quanto espressamente diversamente definito, i termini in maiuscolo utilizzati nel presente Lettera hanno il significato ad essi attribuito nel Contratto di Capacità e nel Codice di Rigassificazione.</w:t>
      </w:r>
    </w:p>
    <w:p w14:paraId="14930384" w14:textId="359DD146" w:rsidR="00BE66ED" w:rsidRPr="00F55348" w:rsidRDefault="00F55348" w:rsidP="009420AF">
      <w:pPr>
        <w:pStyle w:val="ListParagraph"/>
        <w:numPr>
          <w:ilvl w:val="0"/>
          <w:numId w:val="2"/>
        </w:numPr>
        <w:spacing w:before="120" w:after="120" w:line="360" w:lineRule="auto"/>
        <w:ind w:left="284" w:hanging="142"/>
        <w:contextualSpacing w:val="0"/>
        <w:jc w:val="both"/>
        <w:rPr>
          <w:rFonts w:asciiTheme="minorHAnsi" w:hAnsiTheme="minorHAnsi" w:cstheme="minorHAnsi"/>
          <w:lang w:val="it-IT"/>
        </w:rPr>
      </w:pPr>
      <w:r w:rsidRPr="00F55348">
        <w:rPr>
          <w:rFonts w:asciiTheme="minorHAnsi" w:hAnsiTheme="minorHAnsi" w:cstheme="minorHAnsi"/>
          <w:lang w:val="it-IT"/>
        </w:rPr>
        <w:t>All’interno della durata dello Slot di Discarica</w:t>
      </w:r>
      <w:r w:rsidR="00DE7BB9" w:rsidRPr="00F55348">
        <w:rPr>
          <w:rFonts w:asciiTheme="minorHAnsi" w:hAnsiTheme="minorHAnsi" w:cstheme="minorHAnsi"/>
          <w:highlight w:val="yellow"/>
          <w:lang w:val="it-IT"/>
        </w:rPr>
        <w:t xml:space="preserve">, </w:t>
      </w:r>
      <w:r w:rsidRPr="00F55348">
        <w:rPr>
          <w:rFonts w:asciiTheme="minorHAnsi" w:hAnsiTheme="minorHAnsi" w:cstheme="minorHAnsi"/>
          <w:b/>
          <w:bCs/>
          <w:highlight w:val="yellow"/>
          <w:lang w:val="it-IT"/>
        </w:rPr>
        <w:t>NOME DELLA SOCIETA’</w:t>
      </w:r>
      <w:r w:rsidR="0000653D" w:rsidRPr="00F55348">
        <w:rPr>
          <w:rFonts w:asciiTheme="minorHAnsi" w:hAnsiTheme="minorHAnsi" w:cstheme="minorHAnsi"/>
          <w:lang w:val="it-IT"/>
        </w:rPr>
        <w:t xml:space="preserve">, </w:t>
      </w:r>
      <w:r w:rsidRPr="00F55348">
        <w:rPr>
          <w:rFonts w:asciiTheme="minorHAnsi" w:hAnsiTheme="minorHAnsi" w:cstheme="minorHAnsi"/>
          <w:lang w:val="it-IT"/>
        </w:rPr>
        <w:t xml:space="preserve">al fine di usufruire del Servizio di Slot Supplementare, dovrà procurare due Navi Metaniere per arrivare, </w:t>
      </w:r>
      <w:r>
        <w:rPr>
          <w:rFonts w:asciiTheme="minorHAnsi" w:hAnsiTheme="minorHAnsi" w:cstheme="minorHAnsi"/>
          <w:lang w:val="it-IT"/>
        </w:rPr>
        <w:t>ormeggiare</w:t>
      </w:r>
      <w:r w:rsidRPr="00F55348">
        <w:rPr>
          <w:rFonts w:asciiTheme="minorHAnsi" w:hAnsiTheme="minorHAnsi" w:cstheme="minorHAnsi"/>
          <w:lang w:val="it-IT"/>
        </w:rPr>
        <w:t xml:space="preserve">, scaricare e lasciare l'ormeggio per un volume di GNL complessivo </w:t>
      </w:r>
      <w:r>
        <w:rPr>
          <w:rFonts w:asciiTheme="minorHAnsi" w:hAnsiTheme="minorHAnsi" w:cstheme="minorHAnsi"/>
          <w:lang w:val="it-IT"/>
        </w:rPr>
        <w:t>pari a</w:t>
      </w:r>
      <w:r w:rsidRPr="00F55348">
        <w:rPr>
          <w:rFonts w:asciiTheme="minorHAnsi" w:hAnsiTheme="minorHAnsi" w:cstheme="minorHAnsi"/>
          <w:lang w:val="it-IT"/>
        </w:rPr>
        <w:t xml:space="preserve"> quello indicato nella richiesta di Servizio di Slot Supplementare, tale volume di GNL </w:t>
      </w:r>
      <w:r>
        <w:rPr>
          <w:rFonts w:asciiTheme="minorHAnsi" w:hAnsiTheme="minorHAnsi" w:cstheme="minorHAnsi"/>
          <w:lang w:val="it-IT"/>
        </w:rPr>
        <w:t xml:space="preserve">è </w:t>
      </w:r>
      <w:r w:rsidRPr="00F55348">
        <w:rPr>
          <w:rFonts w:asciiTheme="minorHAnsi" w:hAnsiTheme="minorHAnsi" w:cstheme="minorHAnsi"/>
          <w:lang w:val="it-IT"/>
        </w:rPr>
        <w:t>suddiviso come segue:</w:t>
      </w:r>
    </w:p>
    <w:p w14:paraId="66FA9307" w14:textId="5552C5DA" w:rsidR="00BE66ED" w:rsidRPr="00F55348" w:rsidRDefault="00F55348" w:rsidP="009420AF">
      <w:pPr>
        <w:pStyle w:val="ListParagraph"/>
        <w:numPr>
          <w:ilvl w:val="1"/>
          <w:numId w:val="2"/>
        </w:numPr>
        <w:spacing w:before="120" w:after="120" w:line="360" w:lineRule="auto"/>
        <w:ind w:left="1134" w:hanging="425"/>
        <w:contextualSpacing w:val="0"/>
        <w:jc w:val="both"/>
        <w:rPr>
          <w:rFonts w:asciiTheme="minorHAnsi" w:hAnsiTheme="minorHAnsi" w:cstheme="minorHAnsi"/>
          <w:lang w:val="it-IT"/>
        </w:rPr>
      </w:pPr>
      <w:r w:rsidRPr="00F55348">
        <w:rPr>
          <w:rFonts w:asciiTheme="minorHAnsi" w:hAnsiTheme="minorHAnsi" w:cstheme="minorHAnsi"/>
          <w:lang w:val="it-IT"/>
        </w:rPr>
        <w:t>Prima Nave Metaniera</w:t>
      </w:r>
      <w:r w:rsidR="00DE7BB9" w:rsidRPr="00F55348">
        <w:rPr>
          <w:rFonts w:asciiTheme="minorHAnsi" w:hAnsiTheme="minorHAnsi" w:cstheme="minorHAnsi"/>
          <w:lang w:val="it-IT"/>
        </w:rPr>
        <w:t xml:space="preserve">: </w:t>
      </w:r>
      <w:r w:rsidR="0016339D" w:rsidRPr="00F55348">
        <w:rPr>
          <w:rFonts w:asciiTheme="minorHAnsi" w:hAnsiTheme="minorHAnsi" w:cstheme="minorHAnsi"/>
          <w:highlight w:val="yellow"/>
          <w:lang w:val="it-IT"/>
        </w:rPr>
        <w:t>XXX</w:t>
      </w:r>
      <w:r w:rsidR="00FF6677" w:rsidRPr="00F55348">
        <w:rPr>
          <w:rFonts w:asciiTheme="minorHAnsi" w:hAnsiTheme="minorHAnsi" w:cstheme="minorHAnsi"/>
          <w:highlight w:val="yellow"/>
          <w:lang w:val="it-IT"/>
        </w:rPr>
        <w:t>,000</w:t>
      </w:r>
      <w:r w:rsidR="00DE7BB9" w:rsidRPr="00F55348">
        <w:rPr>
          <w:rFonts w:asciiTheme="minorHAnsi" w:hAnsiTheme="minorHAnsi" w:cstheme="minorHAnsi"/>
          <w:highlight w:val="yellow"/>
          <w:lang w:val="it-IT"/>
        </w:rPr>
        <w:t xml:space="preserve"> </w:t>
      </w:r>
      <w:r w:rsidRPr="00F55348">
        <w:rPr>
          <w:rFonts w:asciiTheme="minorHAnsi" w:hAnsiTheme="minorHAnsi" w:cstheme="minorHAnsi"/>
          <w:highlight w:val="yellow"/>
          <w:lang w:val="it-IT"/>
        </w:rPr>
        <w:t xml:space="preserve">mcl </w:t>
      </w:r>
      <w:r w:rsidR="00DE7BB9" w:rsidRPr="00F55348">
        <w:rPr>
          <w:rFonts w:asciiTheme="minorHAnsi" w:hAnsiTheme="minorHAnsi" w:cstheme="minorHAnsi"/>
          <w:highlight w:val="yellow"/>
          <w:lang w:val="it-IT"/>
        </w:rPr>
        <w:t>(</w:t>
      </w:r>
      <w:r w:rsidRPr="00F55348">
        <w:rPr>
          <w:rFonts w:asciiTheme="minorHAnsi" w:hAnsiTheme="minorHAnsi" w:cstheme="minorHAnsi"/>
          <w:highlight w:val="yellow"/>
          <w:lang w:val="it-IT"/>
        </w:rPr>
        <w:t xml:space="preserve">Nome della </w:t>
      </w:r>
      <w:r>
        <w:rPr>
          <w:rFonts w:asciiTheme="minorHAnsi" w:hAnsiTheme="minorHAnsi" w:cstheme="minorHAnsi"/>
          <w:highlight w:val="yellow"/>
          <w:lang w:val="it-IT"/>
        </w:rPr>
        <w:t>nave metaniera</w:t>
      </w:r>
      <w:r w:rsidR="00DE7BB9" w:rsidRPr="00F55348">
        <w:rPr>
          <w:rFonts w:asciiTheme="minorHAnsi" w:hAnsiTheme="minorHAnsi" w:cstheme="minorHAnsi"/>
          <w:highlight w:val="yellow"/>
          <w:lang w:val="it-IT"/>
        </w:rPr>
        <w:t>)</w:t>
      </w:r>
      <w:r w:rsidR="00836036" w:rsidRPr="00F55348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nello slot</w:t>
      </w:r>
      <w:r w:rsidR="00836036" w:rsidRPr="00F55348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gg</w:t>
      </w:r>
      <w:r w:rsidR="00836036" w:rsidRPr="00F55348">
        <w:rPr>
          <w:rFonts w:asciiTheme="minorHAnsi" w:hAnsiTheme="minorHAnsi" w:cstheme="minorHAnsi"/>
          <w:lang w:val="it-IT"/>
        </w:rPr>
        <w:t>/mm/</w:t>
      </w:r>
      <w:proofErr w:type="spellStart"/>
      <w:r>
        <w:rPr>
          <w:rFonts w:asciiTheme="minorHAnsi" w:hAnsiTheme="minorHAnsi" w:cstheme="minorHAnsi"/>
          <w:lang w:val="it-IT"/>
        </w:rPr>
        <w:t>aaaa</w:t>
      </w:r>
      <w:proofErr w:type="spellEnd"/>
      <w:r w:rsidR="00836036" w:rsidRPr="00F55348">
        <w:rPr>
          <w:rFonts w:asciiTheme="minorHAnsi" w:hAnsiTheme="minorHAnsi" w:cstheme="minorHAnsi"/>
          <w:lang w:val="it-IT"/>
        </w:rPr>
        <w:t xml:space="preserve"> – </w:t>
      </w:r>
      <w:r>
        <w:rPr>
          <w:rFonts w:asciiTheme="minorHAnsi" w:hAnsiTheme="minorHAnsi" w:cstheme="minorHAnsi"/>
          <w:lang w:val="it-IT"/>
        </w:rPr>
        <w:t>gg</w:t>
      </w:r>
      <w:r w:rsidRPr="00F55348">
        <w:rPr>
          <w:rFonts w:asciiTheme="minorHAnsi" w:hAnsiTheme="minorHAnsi" w:cstheme="minorHAnsi"/>
          <w:lang w:val="it-IT"/>
        </w:rPr>
        <w:t>/mm/</w:t>
      </w:r>
      <w:proofErr w:type="spellStart"/>
      <w:r>
        <w:rPr>
          <w:rFonts w:asciiTheme="minorHAnsi" w:hAnsiTheme="minorHAnsi" w:cstheme="minorHAnsi"/>
          <w:lang w:val="it-IT"/>
        </w:rPr>
        <w:t>aaaa</w:t>
      </w:r>
      <w:proofErr w:type="spellEnd"/>
      <w:r>
        <w:rPr>
          <w:rFonts w:asciiTheme="minorHAnsi" w:hAnsiTheme="minorHAnsi" w:cstheme="minorHAnsi"/>
          <w:lang w:val="it-IT"/>
        </w:rPr>
        <w:t>;</w:t>
      </w:r>
      <w:r w:rsidRPr="00F55348">
        <w:rPr>
          <w:rFonts w:asciiTheme="minorHAnsi" w:hAnsiTheme="minorHAnsi" w:cstheme="minorHAnsi"/>
          <w:b/>
          <w:bCs/>
          <w:highlight w:val="yellow"/>
          <w:lang w:val="it-IT"/>
        </w:rPr>
        <w:t xml:space="preserve"> </w:t>
      </w:r>
    </w:p>
    <w:p w14:paraId="295899D1" w14:textId="2E4A1AE7" w:rsidR="00F55348" w:rsidRPr="00F55348" w:rsidRDefault="00DE7BB9" w:rsidP="00F55348">
      <w:pPr>
        <w:pStyle w:val="ListParagraph"/>
        <w:numPr>
          <w:ilvl w:val="1"/>
          <w:numId w:val="2"/>
        </w:numPr>
        <w:spacing w:before="120" w:after="120" w:line="360" w:lineRule="auto"/>
        <w:ind w:left="1134" w:hanging="425"/>
        <w:contextualSpacing w:val="0"/>
        <w:jc w:val="both"/>
        <w:rPr>
          <w:rFonts w:asciiTheme="minorHAnsi" w:hAnsiTheme="minorHAnsi" w:cstheme="minorHAnsi"/>
          <w:lang w:val="it-IT"/>
        </w:rPr>
      </w:pPr>
      <w:r w:rsidRPr="00F55348">
        <w:rPr>
          <w:rFonts w:asciiTheme="minorHAnsi" w:hAnsiTheme="minorHAnsi" w:cstheme="minorHAnsi"/>
          <w:lang w:val="it-IT"/>
        </w:rPr>
        <w:t>Second</w:t>
      </w:r>
      <w:r w:rsidR="00F55348" w:rsidRPr="00F55348">
        <w:rPr>
          <w:rFonts w:asciiTheme="minorHAnsi" w:hAnsiTheme="minorHAnsi" w:cstheme="minorHAnsi"/>
          <w:lang w:val="it-IT"/>
        </w:rPr>
        <w:t>a</w:t>
      </w:r>
      <w:r w:rsidRPr="00F55348">
        <w:rPr>
          <w:rFonts w:asciiTheme="minorHAnsi" w:hAnsiTheme="minorHAnsi" w:cstheme="minorHAnsi"/>
          <w:lang w:val="it-IT"/>
        </w:rPr>
        <w:t xml:space="preserve"> </w:t>
      </w:r>
      <w:r w:rsidR="00F55348" w:rsidRPr="00F55348">
        <w:rPr>
          <w:rFonts w:asciiTheme="minorHAnsi" w:hAnsiTheme="minorHAnsi" w:cstheme="minorHAnsi"/>
          <w:lang w:val="it-IT"/>
        </w:rPr>
        <w:t xml:space="preserve">Nave Metaniera: </w:t>
      </w:r>
      <w:r w:rsidR="00F55348" w:rsidRPr="00F55348">
        <w:rPr>
          <w:rFonts w:asciiTheme="minorHAnsi" w:hAnsiTheme="minorHAnsi" w:cstheme="minorHAnsi"/>
          <w:highlight w:val="yellow"/>
          <w:lang w:val="it-IT"/>
        </w:rPr>
        <w:t>XXX,000 mcl (Nome della nave metaniera)</w:t>
      </w:r>
      <w:r w:rsidR="00F55348" w:rsidRPr="00F55348">
        <w:rPr>
          <w:rFonts w:asciiTheme="minorHAnsi" w:hAnsiTheme="minorHAnsi" w:cstheme="minorHAnsi"/>
          <w:lang w:val="it-IT"/>
        </w:rPr>
        <w:t xml:space="preserve"> nello slot gg/mm/</w:t>
      </w:r>
      <w:proofErr w:type="spellStart"/>
      <w:r w:rsidR="00F55348" w:rsidRPr="00F55348">
        <w:rPr>
          <w:rFonts w:asciiTheme="minorHAnsi" w:hAnsiTheme="minorHAnsi" w:cstheme="minorHAnsi"/>
          <w:lang w:val="it-IT"/>
        </w:rPr>
        <w:t>aaaa</w:t>
      </w:r>
      <w:proofErr w:type="spellEnd"/>
      <w:r w:rsidR="00F55348" w:rsidRPr="00F55348">
        <w:rPr>
          <w:rFonts w:asciiTheme="minorHAnsi" w:hAnsiTheme="minorHAnsi" w:cstheme="minorHAnsi"/>
          <w:lang w:val="it-IT"/>
        </w:rPr>
        <w:t xml:space="preserve"> – gg/mm/</w:t>
      </w:r>
      <w:proofErr w:type="spellStart"/>
      <w:r w:rsidR="00F55348" w:rsidRPr="00F55348">
        <w:rPr>
          <w:rFonts w:asciiTheme="minorHAnsi" w:hAnsiTheme="minorHAnsi" w:cstheme="minorHAnsi"/>
          <w:lang w:val="it-IT"/>
        </w:rPr>
        <w:t>aaaa</w:t>
      </w:r>
      <w:proofErr w:type="spellEnd"/>
      <w:r w:rsidR="00F55348" w:rsidRPr="00F55348">
        <w:rPr>
          <w:rFonts w:asciiTheme="minorHAnsi" w:hAnsiTheme="minorHAnsi" w:cstheme="minorHAnsi"/>
          <w:lang w:val="it-IT"/>
        </w:rPr>
        <w:t>;</w:t>
      </w:r>
    </w:p>
    <w:p w14:paraId="35E75699" w14:textId="26CDF10C" w:rsidR="00BE66ED" w:rsidRPr="00F55348" w:rsidRDefault="00BE66ED" w:rsidP="00F55348">
      <w:pPr>
        <w:pStyle w:val="ListParagraph"/>
        <w:spacing w:before="120" w:after="120" w:line="360" w:lineRule="auto"/>
        <w:ind w:left="1134"/>
        <w:contextualSpacing w:val="0"/>
        <w:jc w:val="both"/>
        <w:rPr>
          <w:rFonts w:asciiTheme="minorHAnsi" w:hAnsiTheme="minorHAnsi" w:cstheme="minorHAnsi"/>
          <w:lang w:val="it-IT"/>
        </w:rPr>
      </w:pPr>
    </w:p>
    <w:p w14:paraId="06F20A5F" w14:textId="1622EB1C" w:rsidR="00BE66ED" w:rsidRPr="00F55348" w:rsidRDefault="00F55348" w:rsidP="009420AF">
      <w:pPr>
        <w:pStyle w:val="ListParagraph"/>
        <w:numPr>
          <w:ilvl w:val="0"/>
          <w:numId w:val="2"/>
        </w:numPr>
        <w:spacing w:before="120" w:after="120" w:line="360" w:lineRule="auto"/>
        <w:ind w:left="284" w:hanging="142"/>
        <w:contextualSpacing w:val="0"/>
        <w:jc w:val="both"/>
        <w:rPr>
          <w:rFonts w:asciiTheme="minorHAnsi" w:hAnsiTheme="minorHAnsi" w:cstheme="minorHAnsi"/>
          <w:lang w:val="it-IT"/>
        </w:rPr>
      </w:pPr>
      <w:bookmarkStart w:id="0" w:name="_Hlk163722959"/>
      <w:r w:rsidRPr="00F55348">
        <w:rPr>
          <w:rFonts w:asciiTheme="minorHAnsi" w:hAnsiTheme="minorHAnsi" w:cstheme="minorHAnsi"/>
          <w:b/>
          <w:bCs/>
          <w:highlight w:val="yellow"/>
          <w:lang w:val="it-IT"/>
        </w:rPr>
        <w:t>NOME DELLA SOCIETA’</w:t>
      </w:r>
      <w:r w:rsidRPr="00F55348">
        <w:rPr>
          <w:rFonts w:asciiTheme="minorHAnsi" w:hAnsiTheme="minorHAnsi" w:cstheme="minorHAnsi"/>
          <w:lang w:val="it-IT"/>
        </w:rPr>
        <w:t xml:space="preserve">, dovrà </w:t>
      </w:r>
      <w:r>
        <w:rPr>
          <w:rFonts w:asciiTheme="minorHAnsi" w:hAnsiTheme="minorHAnsi" w:cstheme="minorHAnsi"/>
          <w:lang w:val="it-IT"/>
        </w:rPr>
        <w:t>assicurarsi</w:t>
      </w:r>
      <w:r w:rsidRPr="00F55348">
        <w:rPr>
          <w:rFonts w:asciiTheme="minorHAnsi" w:hAnsiTheme="minorHAnsi" w:cstheme="minorHAnsi"/>
          <w:lang w:val="it-IT"/>
        </w:rPr>
        <w:t xml:space="preserve"> affinché ciascuna Nave Metaniera arrivi, sia pronta per l'ormeggio al Terminale e per la </w:t>
      </w:r>
      <w:r>
        <w:rPr>
          <w:rFonts w:asciiTheme="minorHAnsi" w:hAnsiTheme="minorHAnsi" w:cstheme="minorHAnsi"/>
          <w:lang w:val="it-IT"/>
        </w:rPr>
        <w:t>discarica</w:t>
      </w:r>
      <w:r w:rsidRPr="00F55348">
        <w:rPr>
          <w:rFonts w:asciiTheme="minorHAnsi" w:hAnsiTheme="minorHAnsi" w:cstheme="minorHAnsi"/>
          <w:lang w:val="it-IT"/>
        </w:rPr>
        <w:t xml:space="preserve">, ed emetta il proprio Avviso di Prontezza entro </w:t>
      </w:r>
      <w:r>
        <w:rPr>
          <w:rFonts w:asciiTheme="minorHAnsi" w:hAnsiTheme="minorHAnsi" w:cstheme="minorHAnsi"/>
          <w:lang w:val="it-IT"/>
        </w:rPr>
        <w:t xml:space="preserve">il </w:t>
      </w:r>
      <w:r w:rsidR="00341BD8" w:rsidRPr="00341BD8">
        <w:rPr>
          <w:rFonts w:asciiTheme="minorHAnsi" w:hAnsiTheme="minorHAnsi" w:cstheme="minorHAnsi"/>
          <w:lang w:val="it-IT"/>
        </w:rPr>
        <w:t>Cancello di Accettazio</w:t>
      </w:r>
      <w:r w:rsidR="00341BD8">
        <w:rPr>
          <w:rFonts w:asciiTheme="minorHAnsi" w:hAnsiTheme="minorHAnsi" w:cstheme="minorHAnsi"/>
          <w:lang w:val="it-IT"/>
        </w:rPr>
        <w:t>ne</w:t>
      </w:r>
      <w:r w:rsidRPr="00F55348">
        <w:rPr>
          <w:rFonts w:asciiTheme="minorHAnsi" w:hAnsiTheme="minorHAnsi" w:cstheme="minorHAnsi"/>
          <w:lang w:val="it-IT"/>
        </w:rPr>
        <w:t xml:space="preserve"> assegnato, vale a dire:</w:t>
      </w:r>
    </w:p>
    <w:p w14:paraId="0E848960" w14:textId="475534BD" w:rsidR="00BE66ED" w:rsidRPr="00F55348" w:rsidRDefault="00341BD8" w:rsidP="009420AF">
      <w:pPr>
        <w:pStyle w:val="ListParagraph"/>
        <w:numPr>
          <w:ilvl w:val="1"/>
          <w:numId w:val="2"/>
        </w:numPr>
        <w:spacing w:before="120" w:after="120" w:line="360" w:lineRule="auto"/>
        <w:ind w:left="1134" w:hanging="425"/>
        <w:contextualSpacing w:val="0"/>
        <w:jc w:val="both"/>
        <w:rPr>
          <w:rFonts w:asciiTheme="minorHAnsi" w:hAnsiTheme="minorHAnsi" w:cstheme="minorHAnsi"/>
          <w:highlight w:val="yellow"/>
          <w:lang w:val="it-IT"/>
        </w:rPr>
      </w:pPr>
      <w:r w:rsidRPr="00341BD8">
        <w:rPr>
          <w:rFonts w:asciiTheme="minorHAnsi" w:hAnsiTheme="minorHAnsi" w:cstheme="minorHAnsi"/>
          <w:lang w:val="it-IT"/>
        </w:rPr>
        <w:t>Cancello di Accettazio</w:t>
      </w:r>
      <w:r>
        <w:rPr>
          <w:rFonts w:asciiTheme="minorHAnsi" w:hAnsiTheme="minorHAnsi" w:cstheme="minorHAnsi"/>
          <w:lang w:val="it-IT"/>
        </w:rPr>
        <w:t>ne</w:t>
      </w:r>
      <w:r w:rsidRPr="00341BD8">
        <w:rPr>
          <w:rFonts w:asciiTheme="minorHAnsi" w:hAnsiTheme="minorHAnsi" w:cstheme="minorHAnsi"/>
          <w:lang w:val="it-IT"/>
        </w:rPr>
        <w:t xml:space="preserve"> </w:t>
      </w:r>
      <w:r w:rsidR="00F55348" w:rsidRPr="00F55348">
        <w:rPr>
          <w:rFonts w:asciiTheme="minorHAnsi" w:hAnsiTheme="minorHAnsi" w:cstheme="minorHAnsi"/>
          <w:lang w:val="it-IT"/>
        </w:rPr>
        <w:t>della prima Nave Metaniera</w:t>
      </w:r>
      <w:r w:rsidR="00DE7BB9" w:rsidRPr="00F55348">
        <w:rPr>
          <w:rFonts w:asciiTheme="minorHAnsi" w:hAnsiTheme="minorHAnsi" w:cstheme="minorHAnsi"/>
          <w:lang w:val="it-IT"/>
        </w:rPr>
        <w:t xml:space="preserve">: </w:t>
      </w:r>
      <w:proofErr w:type="gramStart"/>
      <w:r w:rsidR="00B90DA4" w:rsidRPr="00F55348">
        <w:rPr>
          <w:rFonts w:asciiTheme="minorHAnsi" w:hAnsiTheme="minorHAnsi" w:cstheme="minorHAnsi"/>
          <w:highlight w:val="yellow"/>
          <w:lang w:val="it-IT"/>
        </w:rPr>
        <w:t>XX:XX</w:t>
      </w:r>
      <w:proofErr w:type="gramEnd"/>
      <w:r w:rsidR="00B90DA4" w:rsidRPr="00F55348">
        <w:rPr>
          <w:rFonts w:asciiTheme="minorHAnsi" w:hAnsiTheme="minorHAnsi" w:cstheme="minorHAnsi"/>
          <w:lang w:val="it-IT"/>
        </w:rPr>
        <w:t xml:space="preserve"> </w:t>
      </w:r>
      <w:r w:rsidR="00F55348" w:rsidRPr="00F55348">
        <w:rPr>
          <w:rFonts w:asciiTheme="minorHAnsi" w:hAnsiTheme="minorHAnsi" w:cstheme="minorHAnsi"/>
          <w:lang w:val="it-IT"/>
        </w:rPr>
        <w:t>o</w:t>
      </w:r>
      <w:r w:rsidR="00F55348">
        <w:rPr>
          <w:rFonts w:asciiTheme="minorHAnsi" w:hAnsiTheme="minorHAnsi" w:cstheme="minorHAnsi"/>
          <w:lang w:val="it-IT"/>
        </w:rPr>
        <w:t xml:space="preserve">re a partire da </w:t>
      </w:r>
      <w:r w:rsidR="00F55348" w:rsidRPr="00F55348">
        <w:rPr>
          <w:rFonts w:asciiTheme="minorHAnsi" w:hAnsiTheme="minorHAnsi" w:cstheme="minorHAnsi"/>
          <w:highlight w:val="yellow"/>
          <w:lang w:val="it-IT"/>
        </w:rPr>
        <w:t>Mese, GG, AAAA – h am/</w:t>
      </w:r>
      <w:proofErr w:type="spellStart"/>
      <w:r w:rsidR="00F55348" w:rsidRPr="00F55348">
        <w:rPr>
          <w:rFonts w:asciiTheme="minorHAnsi" w:hAnsiTheme="minorHAnsi" w:cstheme="minorHAnsi"/>
          <w:highlight w:val="yellow"/>
          <w:lang w:val="it-IT"/>
        </w:rPr>
        <w:t>pm</w:t>
      </w:r>
      <w:proofErr w:type="spellEnd"/>
      <w:r w:rsidR="00F55348" w:rsidRPr="00F55348">
        <w:rPr>
          <w:rFonts w:asciiTheme="minorHAnsi" w:hAnsiTheme="minorHAnsi" w:cstheme="minorHAnsi"/>
          <w:highlight w:val="yellow"/>
          <w:lang w:val="it-IT"/>
        </w:rPr>
        <w:t xml:space="preserve"> CET</w:t>
      </w:r>
      <w:r w:rsidR="00DE7BB9" w:rsidRPr="00F55348">
        <w:rPr>
          <w:rFonts w:asciiTheme="minorHAnsi" w:hAnsiTheme="minorHAnsi" w:cstheme="minorHAnsi"/>
          <w:highlight w:val="yellow"/>
          <w:lang w:val="it-IT"/>
        </w:rPr>
        <w:t xml:space="preserve">; </w:t>
      </w:r>
    </w:p>
    <w:p w14:paraId="7DEA48A2" w14:textId="6C8DFDDD" w:rsidR="00F55348" w:rsidRPr="00F55348" w:rsidRDefault="00341BD8" w:rsidP="00F55348">
      <w:pPr>
        <w:pStyle w:val="ListParagraph"/>
        <w:numPr>
          <w:ilvl w:val="1"/>
          <w:numId w:val="2"/>
        </w:numPr>
        <w:spacing w:before="120" w:after="120" w:line="360" w:lineRule="auto"/>
        <w:ind w:left="1134" w:hanging="425"/>
        <w:contextualSpacing w:val="0"/>
        <w:jc w:val="both"/>
        <w:rPr>
          <w:rFonts w:asciiTheme="minorHAnsi" w:hAnsiTheme="minorHAnsi" w:cstheme="minorHAnsi"/>
          <w:highlight w:val="yellow"/>
          <w:lang w:val="it-IT"/>
        </w:rPr>
      </w:pPr>
      <w:r w:rsidRPr="00341BD8">
        <w:rPr>
          <w:rFonts w:asciiTheme="minorHAnsi" w:hAnsiTheme="minorHAnsi" w:cstheme="minorHAnsi"/>
          <w:lang w:val="it-IT"/>
        </w:rPr>
        <w:t>Cancello di Accettazio</w:t>
      </w:r>
      <w:r>
        <w:rPr>
          <w:rFonts w:asciiTheme="minorHAnsi" w:hAnsiTheme="minorHAnsi" w:cstheme="minorHAnsi"/>
          <w:lang w:val="it-IT"/>
        </w:rPr>
        <w:t>ne</w:t>
      </w:r>
      <w:r w:rsidRPr="00341BD8">
        <w:rPr>
          <w:rFonts w:asciiTheme="minorHAnsi" w:hAnsiTheme="minorHAnsi" w:cstheme="minorHAnsi"/>
          <w:lang w:val="it-IT"/>
        </w:rPr>
        <w:t xml:space="preserve"> </w:t>
      </w:r>
      <w:r w:rsidR="00F55348" w:rsidRPr="00F55348">
        <w:rPr>
          <w:rFonts w:asciiTheme="minorHAnsi" w:hAnsiTheme="minorHAnsi" w:cstheme="minorHAnsi"/>
          <w:lang w:val="it-IT"/>
        </w:rPr>
        <w:t xml:space="preserve">della </w:t>
      </w:r>
      <w:r w:rsidR="00F55348">
        <w:rPr>
          <w:rFonts w:asciiTheme="minorHAnsi" w:hAnsiTheme="minorHAnsi" w:cstheme="minorHAnsi"/>
          <w:lang w:val="it-IT"/>
        </w:rPr>
        <w:t>seconda</w:t>
      </w:r>
      <w:r w:rsidR="00F55348" w:rsidRPr="00F55348">
        <w:rPr>
          <w:rFonts w:asciiTheme="minorHAnsi" w:hAnsiTheme="minorHAnsi" w:cstheme="minorHAnsi"/>
          <w:lang w:val="it-IT"/>
        </w:rPr>
        <w:t xml:space="preserve"> Nave Metaniera: </w:t>
      </w:r>
      <w:proofErr w:type="gramStart"/>
      <w:r w:rsidR="00F55348" w:rsidRPr="00F55348">
        <w:rPr>
          <w:rFonts w:asciiTheme="minorHAnsi" w:hAnsiTheme="minorHAnsi" w:cstheme="minorHAnsi"/>
          <w:highlight w:val="yellow"/>
          <w:lang w:val="it-IT"/>
        </w:rPr>
        <w:t>XX:XX</w:t>
      </w:r>
      <w:proofErr w:type="gramEnd"/>
      <w:r w:rsidR="00F55348" w:rsidRPr="00F55348">
        <w:rPr>
          <w:rFonts w:asciiTheme="minorHAnsi" w:hAnsiTheme="minorHAnsi" w:cstheme="minorHAnsi"/>
          <w:lang w:val="it-IT"/>
        </w:rPr>
        <w:t xml:space="preserve"> o</w:t>
      </w:r>
      <w:r w:rsidR="00F55348">
        <w:rPr>
          <w:rFonts w:asciiTheme="minorHAnsi" w:hAnsiTheme="minorHAnsi" w:cstheme="minorHAnsi"/>
          <w:lang w:val="it-IT"/>
        </w:rPr>
        <w:t xml:space="preserve">re a partire da </w:t>
      </w:r>
      <w:r w:rsidR="00F55348" w:rsidRPr="00F55348">
        <w:rPr>
          <w:rFonts w:asciiTheme="minorHAnsi" w:hAnsiTheme="minorHAnsi" w:cstheme="minorHAnsi"/>
          <w:highlight w:val="yellow"/>
          <w:lang w:val="it-IT"/>
        </w:rPr>
        <w:t>Mese, GG, AAAA – h am/</w:t>
      </w:r>
      <w:proofErr w:type="spellStart"/>
      <w:r w:rsidR="00F55348" w:rsidRPr="00F55348">
        <w:rPr>
          <w:rFonts w:asciiTheme="minorHAnsi" w:hAnsiTheme="minorHAnsi" w:cstheme="minorHAnsi"/>
          <w:highlight w:val="yellow"/>
          <w:lang w:val="it-IT"/>
        </w:rPr>
        <w:t>pm</w:t>
      </w:r>
      <w:proofErr w:type="spellEnd"/>
      <w:r w:rsidR="00F55348" w:rsidRPr="00F55348">
        <w:rPr>
          <w:rFonts w:asciiTheme="minorHAnsi" w:hAnsiTheme="minorHAnsi" w:cstheme="minorHAnsi"/>
          <w:highlight w:val="yellow"/>
          <w:lang w:val="it-IT"/>
        </w:rPr>
        <w:t xml:space="preserve"> CET; </w:t>
      </w:r>
    </w:p>
    <w:bookmarkEnd w:id="0"/>
    <w:p w14:paraId="0EF41415" w14:textId="104C07B4" w:rsidR="00A73D8D" w:rsidRPr="00F55348" w:rsidRDefault="00F55348" w:rsidP="00CA5CAA">
      <w:pPr>
        <w:spacing w:before="120" w:after="120" w:line="360" w:lineRule="auto"/>
        <w:ind w:left="284"/>
        <w:jc w:val="both"/>
        <w:rPr>
          <w:rFonts w:asciiTheme="minorHAnsi" w:hAnsiTheme="minorHAnsi" w:cstheme="minorHAnsi"/>
          <w:lang w:val="it-IT"/>
        </w:rPr>
      </w:pPr>
      <w:r w:rsidRPr="00F55348">
        <w:rPr>
          <w:rFonts w:asciiTheme="minorHAnsi" w:hAnsiTheme="minorHAnsi" w:cstheme="minorHAnsi"/>
          <w:lang w:val="it-IT"/>
        </w:rPr>
        <w:t xml:space="preserve">Fino all'emissione dell'Avviso di Partenza da parte dell'Utente, l'ETA per ciascuna delle Navi Metaniere sarà considerato pari a </w:t>
      </w:r>
      <w:r w:rsidRPr="004C6C3D">
        <w:rPr>
          <w:rFonts w:asciiTheme="minorHAnsi" w:hAnsiTheme="minorHAnsi" w:cstheme="minorHAnsi"/>
          <w:highlight w:val="yellow"/>
          <w:lang w:val="it-IT"/>
        </w:rPr>
        <w:t>XXX</w:t>
      </w:r>
      <w:r w:rsidRPr="00F55348">
        <w:rPr>
          <w:rFonts w:asciiTheme="minorHAnsi" w:hAnsiTheme="minorHAnsi" w:cstheme="minorHAnsi"/>
          <w:lang w:val="it-IT"/>
        </w:rPr>
        <w:t xml:space="preserve"> ore dopo l'inizio del relativo </w:t>
      </w:r>
      <w:r w:rsidR="00341BD8" w:rsidRPr="00341BD8">
        <w:rPr>
          <w:rFonts w:asciiTheme="minorHAnsi" w:hAnsiTheme="minorHAnsi" w:cstheme="minorHAnsi"/>
          <w:lang w:val="it-IT"/>
        </w:rPr>
        <w:t>Cancello di Accettazio</w:t>
      </w:r>
      <w:r w:rsidR="00341BD8">
        <w:rPr>
          <w:rFonts w:asciiTheme="minorHAnsi" w:hAnsiTheme="minorHAnsi" w:cstheme="minorHAnsi"/>
          <w:lang w:val="it-IT"/>
        </w:rPr>
        <w:t>ne</w:t>
      </w:r>
      <w:r w:rsidRPr="00F55348">
        <w:rPr>
          <w:rFonts w:asciiTheme="minorHAnsi" w:hAnsiTheme="minorHAnsi" w:cstheme="minorHAnsi"/>
          <w:lang w:val="it-IT"/>
        </w:rPr>
        <w:t>. L'Utente dovrà dare, o far sì che l'Armatore o il comandante delle Navi metaniere diano al Gestore, tramite fax o e-mail, un avviso di qualsiasi modifica prevista a tale ETA, non appena ragionevolmente possibile.</w:t>
      </w:r>
    </w:p>
    <w:p w14:paraId="6ED46417" w14:textId="637D125C" w:rsidR="00BE66ED" w:rsidRPr="00341BD8" w:rsidRDefault="00F55348" w:rsidP="00CA5CAA">
      <w:pPr>
        <w:spacing w:before="120" w:after="120" w:line="360" w:lineRule="auto"/>
        <w:ind w:left="284"/>
        <w:jc w:val="both"/>
        <w:rPr>
          <w:rFonts w:asciiTheme="minorHAnsi" w:hAnsiTheme="minorHAnsi" w:cstheme="minorHAnsi"/>
          <w:lang w:val="it-IT"/>
        </w:rPr>
      </w:pPr>
      <w:r w:rsidRPr="00341BD8">
        <w:rPr>
          <w:rFonts w:asciiTheme="minorHAnsi" w:hAnsiTheme="minorHAnsi" w:cstheme="minorHAnsi"/>
          <w:b/>
          <w:bCs/>
          <w:highlight w:val="yellow"/>
          <w:lang w:val="it-IT"/>
        </w:rPr>
        <w:lastRenderedPageBreak/>
        <w:t xml:space="preserve">NOME DELLA SOCIETA’ </w:t>
      </w:r>
      <w:r w:rsidRPr="00341BD8">
        <w:rPr>
          <w:rFonts w:asciiTheme="minorHAnsi" w:hAnsiTheme="minorHAnsi" w:cstheme="minorHAnsi"/>
          <w:lang w:val="it-IT"/>
        </w:rPr>
        <w:t xml:space="preserve">è consapevole </w:t>
      </w:r>
      <w:r w:rsidR="004C6C3D">
        <w:rPr>
          <w:rFonts w:asciiTheme="minorHAnsi" w:hAnsiTheme="minorHAnsi" w:cstheme="minorHAnsi"/>
          <w:lang w:val="it-IT"/>
        </w:rPr>
        <w:t>e</w:t>
      </w:r>
      <w:r w:rsidRPr="00341BD8">
        <w:rPr>
          <w:rFonts w:asciiTheme="minorHAnsi" w:hAnsiTheme="minorHAnsi" w:cstheme="minorHAnsi"/>
          <w:lang w:val="it-IT"/>
        </w:rPr>
        <w:t xml:space="preserve"> concorda espressamente: </w:t>
      </w:r>
      <w:r w:rsidRPr="00341BD8">
        <w:rPr>
          <w:rFonts w:asciiTheme="minorHAnsi" w:hAnsiTheme="minorHAnsi" w:cstheme="minorHAnsi"/>
          <w:b/>
          <w:bCs/>
          <w:lang w:val="it-IT"/>
        </w:rPr>
        <w:t>(i)</w:t>
      </w:r>
      <w:r w:rsidR="00341BD8" w:rsidRPr="00341BD8">
        <w:rPr>
          <w:rFonts w:asciiTheme="minorHAnsi" w:hAnsiTheme="minorHAnsi" w:cstheme="minorHAnsi"/>
          <w:b/>
          <w:bCs/>
          <w:lang w:val="it-IT"/>
        </w:rPr>
        <w:t xml:space="preserve"> </w:t>
      </w:r>
      <w:r w:rsidR="00341BD8" w:rsidRPr="00341BD8">
        <w:rPr>
          <w:rFonts w:asciiTheme="minorHAnsi" w:hAnsiTheme="minorHAnsi" w:cstheme="minorHAnsi"/>
          <w:lang w:val="it-IT"/>
        </w:rPr>
        <w:t>di consentire la gestione di ciascuna delle due Navi Metaniere all'interno del proprio Slot di Discarica</w:t>
      </w:r>
      <w:r w:rsidR="00341BD8">
        <w:rPr>
          <w:rFonts w:asciiTheme="minorHAnsi" w:hAnsiTheme="minorHAnsi" w:cstheme="minorHAnsi"/>
          <w:lang w:val="it-IT"/>
        </w:rPr>
        <w:t>.</w:t>
      </w:r>
      <w:r w:rsidR="00341BD8" w:rsidRPr="00341BD8">
        <w:rPr>
          <w:rFonts w:asciiTheme="minorHAnsi" w:hAnsiTheme="minorHAnsi" w:cstheme="minorHAnsi"/>
          <w:lang w:val="it-IT"/>
        </w:rPr>
        <w:t xml:space="preserve"> </w:t>
      </w:r>
      <w:r w:rsidR="00341BD8">
        <w:rPr>
          <w:rFonts w:asciiTheme="minorHAnsi" w:hAnsiTheme="minorHAnsi" w:cstheme="minorHAnsi"/>
          <w:lang w:val="it-IT"/>
        </w:rPr>
        <w:t>L</w:t>
      </w:r>
      <w:r w:rsidR="00341BD8" w:rsidRPr="00341BD8">
        <w:rPr>
          <w:rFonts w:asciiTheme="minorHAnsi" w:hAnsiTheme="minorHAnsi" w:cstheme="minorHAnsi"/>
          <w:lang w:val="it-IT"/>
        </w:rPr>
        <w:t>a durata massima di ciascun Cancello di Accettazione dovrà essere pari a XX:XX ore, con un intervallo di tempo tecnico compreso tra 6 e 8 ore tra il disormeggio della prima Nave Metaniera e l'ormeggio della seconda Nave Metaniera, necessario allo scongelamento dei bracci di carico</w:t>
      </w:r>
      <w:r w:rsidR="00DE7BB9" w:rsidRPr="00341BD8">
        <w:rPr>
          <w:rFonts w:asciiTheme="minorHAnsi" w:hAnsiTheme="minorHAnsi" w:cstheme="minorHAnsi"/>
          <w:lang w:val="it-IT"/>
        </w:rPr>
        <w:t xml:space="preserve">; </w:t>
      </w:r>
      <w:r w:rsidR="00DE7BB9" w:rsidRPr="00341BD8">
        <w:rPr>
          <w:rFonts w:asciiTheme="minorHAnsi" w:hAnsiTheme="minorHAnsi" w:cstheme="minorHAnsi"/>
          <w:b/>
          <w:lang w:val="it-IT"/>
        </w:rPr>
        <w:t>(ii)</w:t>
      </w:r>
      <w:r w:rsidR="00DE7BB9" w:rsidRPr="00341BD8">
        <w:rPr>
          <w:rFonts w:asciiTheme="minorHAnsi" w:hAnsiTheme="minorHAnsi" w:cstheme="minorHAnsi"/>
          <w:lang w:val="it-IT"/>
        </w:rPr>
        <w:t xml:space="preserve"> </w:t>
      </w:r>
      <w:r w:rsidR="00341BD8">
        <w:rPr>
          <w:lang w:val="it-IT"/>
        </w:rPr>
        <w:t>c</w:t>
      </w:r>
      <w:r w:rsidR="00341BD8" w:rsidRPr="00341BD8">
        <w:rPr>
          <w:lang w:val="it-IT"/>
        </w:rPr>
        <w:t>h</w:t>
      </w:r>
      <w:r w:rsidR="00341BD8">
        <w:rPr>
          <w:lang w:val="it-IT"/>
        </w:rPr>
        <w:t xml:space="preserve">e </w:t>
      </w:r>
      <w:r w:rsidR="00341BD8" w:rsidRPr="00341BD8">
        <w:rPr>
          <w:rFonts w:asciiTheme="minorHAnsi" w:hAnsiTheme="minorHAnsi" w:cstheme="minorHAnsi"/>
          <w:lang w:val="it-IT"/>
        </w:rPr>
        <w:t xml:space="preserve">l'effettivo inizio </w:t>
      </w:r>
      <w:r w:rsidR="00341BD8">
        <w:rPr>
          <w:rFonts w:asciiTheme="minorHAnsi" w:hAnsiTheme="minorHAnsi" w:cstheme="minorHAnsi"/>
          <w:lang w:val="it-IT"/>
        </w:rPr>
        <w:t>del Cancello di Accettazione</w:t>
      </w:r>
      <w:r w:rsidR="00341BD8" w:rsidRPr="00341BD8">
        <w:rPr>
          <w:rFonts w:asciiTheme="minorHAnsi" w:hAnsiTheme="minorHAnsi" w:cstheme="minorHAnsi"/>
          <w:lang w:val="it-IT"/>
        </w:rPr>
        <w:t xml:space="preserve"> della seconda Nave Metaniera potrà essere posticipato in conseguenza di eventuali ritardi relativi alla prima Nave Metaniera, al suo arrivo, </w:t>
      </w:r>
      <w:r w:rsidR="00341BD8">
        <w:rPr>
          <w:rFonts w:asciiTheme="minorHAnsi" w:hAnsiTheme="minorHAnsi" w:cstheme="minorHAnsi"/>
          <w:lang w:val="it-IT"/>
        </w:rPr>
        <w:t>ormeggio</w:t>
      </w:r>
      <w:r w:rsidR="00341BD8" w:rsidRPr="00341BD8">
        <w:rPr>
          <w:rFonts w:asciiTheme="minorHAnsi" w:hAnsiTheme="minorHAnsi" w:cstheme="minorHAnsi"/>
          <w:lang w:val="it-IT"/>
        </w:rPr>
        <w:t>, discarica o partenza, e in nessun caso il Gestore potrà essere considerato responsabile per tale ritardo, comprese le eventuali controstallie della seconda nave metaniera.</w:t>
      </w:r>
    </w:p>
    <w:p w14:paraId="77ED9D2D" w14:textId="50364F47" w:rsidR="00DF5E21" w:rsidRPr="00045F72" w:rsidRDefault="00045F72" w:rsidP="009420AF">
      <w:pPr>
        <w:pStyle w:val="ListParagraph"/>
        <w:numPr>
          <w:ilvl w:val="0"/>
          <w:numId w:val="2"/>
        </w:numPr>
        <w:spacing w:before="120" w:after="120" w:line="360" w:lineRule="auto"/>
        <w:ind w:left="284" w:hanging="142"/>
        <w:contextualSpacing w:val="0"/>
        <w:jc w:val="both"/>
        <w:rPr>
          <w:rFonts w:asciiTheme="minorHAnsi" w:hAnsiTheme="minorHAnsi" w:cstheme="minorHAnsi"/>
          <w:lang w:val="it-IT"/>
        </w:rPr>
      </w:pPr>
      <w:r w:rsidRPr="00045F72">
        <w:rPr>
          <w:rFonts w:asciiTheme="minorHAnsi" w:hAnsiTheme="minorHAnsi" w:cstheme="minorHAnsi"/>
          <w:lang w:val="it-IT"/>
        </w:rPr>
        <w:t>L'Utente sarà tenuto a corrispondere al Gestore il Corrispettivo</w:t>
      </w:r>
      <w:r w:rsidRPr="00045F72">
        <w:rPr>
          <w:rFonts w:asciiTheme="minorHAnsi" w:hAnsiTheme="minorHAnsi" w:cstheme="minorHAnsi"/>
          <w:i/>
          <w:iCs/>
          <w:lang w:val="it-IT"/>
        </w:rPr>
        <w:t xml:space="preserve"> </w:t>
      </w:r>
      <w:proofErr w:type="spellStart"/>
      <w:r w:rsidRPr="00045F72">
        <w:rPr>
          <w:rFonts w:asciiTheme="minorHAnsi" w:hAnsiTheme="minorHAnsi" w:cstheme="minorHAnsi"/>
          <w:i/>
          <w:iCs/>
          <w:lang w:val="it-IT"/>
        </w:rPr>
        <w:t>Cqs</w:t>
      </w:r>
      <w:proofErr w:type="spellEnd"/>
      <w:r w:rsidRPr="00045F72">
        <w:rPr>
          <w:rFonts w:asciiTheme="minorHAnsi" w:hAnsiTheme="minorHAnsi" w:cstheme="minorHAnsi"/>
          <w:lang w:val="it-IT"/>
        </w:rPr>
        <w:t xml:space="preserve"> ai sensi del Contratto di Capacità e del Codice di Rigassificazione e per il Servizio di Slot Supplementare fornito dal Gestore, l'Utente dovrà corrispondere al Gestore il Corrispettivo del Servizio di Slot Supplementare (</w:t>
      </w:r>
      <w:proofErr w:type="spellStart"/>
      <w:r w:rsidRPr="00045F72">
        <w:rPr>
          <w:rFonts w:asciiTheme="minorHAnsi" w:hAnsiTheme="minorHAnsi" w:cstheme="minorHAnsi"/>
          <w:lang w:val="it-IT"/>
        </w:rPr>
        <w:t>CSSlot</w:t>
      </w:r>
      <w:proofErr w:type="spellEnd"/>
      <w:r w:rsidRPr="00045F72">
        <w:rPr>
          <w:rFonts w:asciiTheme="minorHAnsi" w:hAnsiTheme="minorHAnsi" w:cstheme="minorHAnsi"/>
          <w:lang w:val="it-IT"/>
        </w:rPr>
        <w:t xml:space="preserve">) ai sensi dell'articolo III.8.1 del Codice di Rigassificazione e come pubblicato sul Sistema di Comunicazione Elettronico. L'Utente dovrà corrispondere, oltre al </w:t>
      </w:r>
      <w:proofErr w:type="spellStart"/>
      <w:r w:rsidRPr="00045F72">
        <w:rPr>
          <w:rFonts w:asciiTheme="minorHAnsi" w:hAnsiTheme="minorHAnsi" w:cstheme="minorHAnsi"/>
          <w:lang w:val="it-IT"/>
        </w:rPr>
        <w:t>CSSlot</w:t>
      </w:r>
      <w:proofErr w:type="spellEnd"/>
      <w:r w:rsidRPr="00045F72">
        <w:rPr>
          <w:rFonts w:asciiTheme="minorHAnsi" w:hAnsiTheme="minorHAnsi" w:cstheme="minorHAnsi"/>
          <w:lang w:val="it-IT"/>
        </w:rPr>
        <w:t xml:space="preserve">, i Corrispettivi </w:t>
      </w:r>
      <w:r>
        <w:rPr>
          <w:rFonts w:asciiTheme="minorHAnsi" w:hAnsiTheme="minorHAnsi" w:cstheme="minorHAnsi"/>
          <w:lang w:val="it-IT"/>
        </w:rPr>
        <w:t xml:space="preserve">per i Servizi </w:t>
      </w:r>
      <w:r w:rsidRPr="00045F72">
        <w:rPr>
          <w:rFonts w:asciiTheme="minorHAnsi" w:hAnsiTheme="minorHAnsi" w:cstheme="minorHAnsi"/>
          <w:lang w:val="it-IT"/>
        </w:rPr>
        <w:t xml:space="preserve">Marittimi (ai sensi del par. III. Art. 8.7 del Codice di Rigassificazione) per ciascuno degli </w:t>
      </w:r>
      <w:r>
        <w:rPr>
          <w:rFonts w:asciiTheme="minorHAnsi" w:hAnsiTheme="minorHAnsi" w:cstheme="minorHAnsi"/>
          <w:lang w:val="it-IT"/>
        </w:rPr>
        <w:t>ormeggi</w:t>
      </w:r>
      <w:r w:rsidRPr="00045F72">
        <w:rPr>
          <w:rFonts w:asciiTheme="minorHAnsi" w:hAnsiTheme="minorHAnsi" w:cstheme="minorHAnsi"/>
          <w:lang w:val="it-IT"/>
        </w:rPr>
        <w:t xml:space="preserve"> oggetto del Servizio Slot Supplementare, così come pubblicat</w:t>
      </w:r>
      <w:r>
        <w:rPr>
          <w:rFonts w:asciiTheme="minorHAnsi" w:hAnsiTheme="minorHAnsi" w:cstheme="minorHAnsi"/>
          <w:lang w:val="it-IT"/>
        </w:rPr>
        <w:t>o</w:t>
      </w:r>
      <w:r w:rsidRPr="00045F72">
        <w:rPr>
          <w:rFonts w:asciiTheme="minorHAnsi" w:hAnsiTheme="minorHAnsi" w:cstheme="minorHAnsi"/>
          <w:lang w:val="it-IT"/>
        </w:rPr>
        <w:t xml:space="preserve"> sul Sistema di Comunicazione Elettronico</w:t>
      </w:r>
    </w:p>
    <w:p w14:paraId="69C79D0A" w14:textId="381CB945" w:rsidR="00CC017A" w:rsidRPr="00045F72" w:rsidRDefault="00045F72" w:rsidP="009420AF">
      <w:pPr>
        <w:pStyle w:val="ListParagraph"/>
        <w:numPr>
          <w:ilvl w:val="0"/>
          <w:numId w:val="2"/>
        </w:numPr>
        <w:spacing w:before="120" w:after="120" w:line="360" w:lineRule="auto"/>
        <w:ind w:left="284" w:hanging="142"/>
        <w:contextualSpacing w:val="0"/>
        <w:jc w:val="both"/>
        <w:rPr>
          <w:rFonts w:asciiTheme="minorHAnsi" w:hAnsiTheme="minorHAnsi" w:cstheme="minorHAnsi"/>
          <w:lang w:val="it-IT"/>
        </w:rPr>
      </w:pPr>
      <w:r w:rsidRPr="00341BD8">
        <w:rPr>
          <w:rFonts w:asciiTheme="minorHAnsi" w:hAnsiTheme="minorHAnsi" w:cstheme="minorHAnsi"/>
          <w:b/>
          <w:bCs/>
          <w:highlight w:val="yellow"/>
          <w:lang w:val="it-IT"/>
        </w:rPr>
        <w:t xml:space="preserve">NOME DELLA SOCIETA’ </w:t>
      </w:r>
      <w:r w:rsidRPr="00045F72">
        <w:rPr>
          <w:rFonts w:asciiTheme="minorHAnsi" w:hAnsiTheme="minorHAnsi" w:cstheme="minorHAnsi"/>
          <w:lang w:val="it-IT"/>
        </w:rPr>
        <w:t xml:space="preserve">dovrà indennizzare e manlevare il Gestore da qualsiasi costo, perdita, danno, reclamo e/o spesa di qualsiasi tipo (quali, ma non limitatamente a, Controstallie) sostenuti dal Gestore correlati o derivanti da qualsiasi violazione degli obblighi di </w:t>
      </w:r>
      <w:r w:rsidRPr="00341BD8">
        <w:rPr>
          <w:rFonts w:asciiTheme="minorHAnsi" w:hAnsiTheme="minorHAnsi" w:cstheme="minorHAnsi"/>
          <w:b/>
          <w:bCs/>
          <w:highlight w:val="yellow"/>
          <w:lang w:val="it-IT"/>
        </w:rPr>
        <w:t xml:space="preserve">NOME DELLA SOCIETA’ </w:t>
      </w:r>
      <w:r w:rsidRPr="00045F72">
        <w:rPr>
          <w:rFonts w:asciiTheme="minorHAnsi" w:hAnsiTheme="minorHAnsi" w:cstheme="minorHAnsi"/>
          <w:lang w:val="it-IT"/>
        </w:rPr>
        <w:t>ai sensi della presente Lettera.</w:t>
      </w:r>
    </w:p>
    <w:p w14:paraId="42C2BE34" w14:textId="1BA66C87" w:rsidR="00466215" w:rsidRPr="00301118" w:rsidRDefault="00045F72" w:rsidP="00466215">
      <w:pPr>
        <w:pStyle w:val="ListParagraph"/>
        <w:numPr>
          <w:ilvl w:val="0"/>
          <w:numId w:val="2"/>
        </w:numPr>
        <w:spacing w:before="120" w:after="120" w:line="360" w:lineRule="auto"/>
        <w:ind w:left="284" w:hanging="142"/>
        <w:contextualSpacing w:val="0"/>
        <w:jc w:val="both"/>
        <w:rPr>
          <w:rFonts w:asciiTheme="minorHAnsi" w:hAnsiTheme="minorHAnsi" w:cstheme="minorHAnsi"/>
          <w:lang w:val="it-IT"/>
        </w:rPr>
      </w:pPr>
      <w:bookmarkStart w:id="1" w:name="_Hlk163723732"/>
      <w:r w:rsidRPr="00045F72">
        <w:rPr>
          <w:rFonts w:asciiTheme="minorHAnsi" w:hAnsiTheme="minorHAnsi" w:cstheme="minorHAnsi"/>
          <w:lang w:val="it-IT"/>
        </w:rPr>
        <w:t xml:space="preserve"> Salvo espressamente modificati dalla presente Lettera in relazione alla fornitura del Servizio di Slot Supplementare, continueranno ad applicarsi i termini e le condizioni del Contratto di Capacità, nonché quelli del Codice di Rigassificazione a cui il Contratto di Capacità fa riferimento (es. Corrispettivo </w:t>
      </w:r>
      <w:proofErr w:type="spellStart"/>
      <w:r w:rsidRPr="00045F72">
        <w:rPr>
          <w:rFonts w:asciiTheme="minorHAnsi" w:hAnsiTheme="minorHAnsi" w:cstheme="minorHAnsi"/>
          <w:lang w:val="it-IT"/>
        </w:rPr>
        <w:t>Cqs</w:t>
      </w:r>
      <w:proofErr w:type="spellEnd"/>
      <w:r w:rsidRPr="00045F72">
        <w:rPr>
          <w:rFonts w:asciiTheme="minorHAnsi" w:hAnsiTheme="minorHAnsi" w:cstheme="minorHAnsi"/>
          <w:lang w:val="it-IT"/>
        </w:rPr>
        <w:t>, Sanzioni da applicarsi in caso di ritardi ai sensi degli articoli IV.3.4 e IV.3.6 del Codice di Rigassificazione, ecc.).</w:t>
      </w:r>
      <w:r w:rsidR="004C6C3D">
        <w:rPr>
          <w:rFonts w:asciiTheme="minorHAnsi" w:hAnsiTheme="minorHAnsi" w:cstheme="minorHAnsi"/>
          <w:lang w:val="it-IT"/>
        </w:rPr>
        <w:t xml:space="preserve"> </w:t>
      </w:r>
      <w:r w:rsidR="007D2E1A" w:rsidRPr="00045F72">
        <w:rPr>
          <w:rFonts w:asciiTheme="minorHAnsi" w:hAnsiTheme="minorHAnsi" w:cstheme="minorHAnsi"/>
          <w:lang w:val="it-IT"/>
        </w:rPr>
        <w:t>I</w:t>
      </w:r>
      <w:r w:rsidRPr="00045F72">
        <w:rPr>
          <w:rFonts w:asciiTheme="minorHAnsi" w:hAnsiTheme="minorHAnsi" w:cstheme="minorHAnsi"/>
          <w:lang w:val="it-IT"/>
        </w:rPr>
        <w:t xml:space="preserve">n aggiunta a quanto sopra, ai sensi della presente Lettera ed in relazione all'erogazione del Servizio di Slot Supplementare, in caso di Avviso di Prontezza inviato dall'Utente oltre </w:t>
      </w:r>
      <w:r>
        <w:rPr>
          <w:rFonts w:asciiTheme="minorHAnsi" w:hAnsiTheme="minorHAnsi" w:cstheme="minorHAnsi"/>
          <w:lang w:val="it-IT"/>
        </w:rPr>
        <w:t xml:space="preserve">il Cancello di </w:t>
      </w:r>
      <w:r w:rsidRPr="00301118">
        <w:rPr>
          <w:rFonts w:asciiTheme="minorHAnsi" w:hAnsiTheme="minorHAnsi" w:cstheme="minorHAnsi"/>
          <w:lang w:val="it-IT"/>
        </w:rPr>
        <w:t xml:space="preserve">Accettazione e conseguente ritardo nell'operazione di Discarica, l'Utente dovrà corrispondere al Gestore una penale aggiuntiva per ogni ora di ritardo pari a </w:t>
      </w:r>
      <w:r w:rsidR="008E59A0" w:rsidRPr="00301118">
        <w:rPr>
          <w:rFonts w:asciiTheme="minorHAnsi" w:hAnsiTheme="minorHAnsi" w:cstheme="minorHAnsi"/>
          <w:lang w:val="it-IT"/>
        </w:rPr>
        <w:t>3250 $</w:t>
      </w:r>
      <w:r w:rsidR="00466215" w:rsidRPr="00301118">
        <w:rPr>
          <w:rFonts w:asciiTheme="minorHAnsi" w:hAnsiTheme="minorHAnsi" w:cstheme="minorHAnsi"/>
          <w:lang w:val="it-IT"/>
        </w:rPr>
        <w:t>/h</w:t>
      </w:r>
      <w:r w:rsidR="007D2E1A" w:rsidRPr="00301118">
        <w:rPr>
          <w:rFonts w:asciiTheme="minorHAnsi" w:hAnsiTheme="minorHAnsi" w:cstheme="minorHAnsi"/>
          <w:lang w:val="it-IT"/>
        </w:rPr>
        <w:t>.</w:t>
      </w:r>
      <w:r w:rsidR="00615361" w:rsidRPr="00301118">
        <w:rPr>
          <w:rFonts w:asciiTheme="minorHAnsi" w:hAnsiTheme="minorHAnsi" w:cstheme="minorHAnsi"/>
          <w:lang w:val="it-IT"/>
        </w:rPr>
        <w:t xml:space="preserve"> </w:t>
      </w:r>
      <w:r w:rsidR="00DE7BB9" w:rsidRPr="00301118">
        <w:rPr>
          <w:rFonts w:asciiTheme="minorHAnsi" w:hAnsiTheme="minorHAnsi" w:cstheme="minorHAnsi"/>
          <w:lang w:val="it-IT"/>
        </w:rPr>
        <w:t xml:space="preserve">  </w:t>
      </w:r>
    </w:p>
    <w:p w14:paraId="3D3743A8" w14:textId="77777777" w:rsidR="00840592" w:rsidRPr="00301118" w:rsidRDefault="00840592" w:rsidP="00466215">
      <w:pPr>
        <w:pStyle w:val="ListParagraph"/>
        <w:rPr>
          <w:lang w:val="it-IT"/>
        </w:rPr>
      </w:pPr>
    </w:p>
    <w:bookmarkEnd w:id="1"/>
    <w:p w14:paraId="20172443" w14:textId="13713B5A" w:rsidR="00941FEA" w:rsidRPr="00301118" w:rsidRDefault="00045F72" w:rsidP="00E3382F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301118">
        <w:rPr>
          <w:lang w:val="it-IT"/>
        </w:rPr>
        <w:t xml:space="preserve">Il servizio di Slot Supplementare non è da considerarsi un servizio interrompibile. Una volta che le Parti avranno sottoscritto la presente Lettera, ciascuno degli slot definiti a partire dallo slot iniziale, </w:t>
      </w:r>
      <w:r w:rsidRPr="00301118">
        <w:rPr>
          <w:lang w:val="it-IT"/>
        </w:rPr>
        <w:lastRenderedPageBreak/>
        <w:t>verrà considerato al pari di ogni altri slot e il Gestore provvederà di conseguenza alla programmazione, come previsto agli articoli II.3.3; II.3.5; II.3.6; III.6.1; III.7 a seconda dei casi.</w:t>
      </w:r>
    </w:p>
    <w:p w14:paraId="40DE9584" w14:textId="77777777" w:rsidR="00FB2DEF" w:rsidRPr="00045F72" w:rsidRDefault="00FB2DEF" w:rsidP="00FB2DEF">
      <w:pPr>
        <w:pStyle w:val="ListParagraph"/>
        <w:ind w:left="360"/>
        <w:rPr>
          <w:lang w:val="it-IT"/>
        </w:rPr>
      </w:pPr>
    </w:p>
    <w:p w14:paraId="1A55B9DC" w14:textId="33889F1E" w:rsidR="00BE66ED" w:rsidRPr="00045F72" w:rsidRDefault="00045F72" w:rsidP="00045F72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045F72">
        <w:rPr>
          <w:lang w:val="it-IT"/>
        </w:rPr>
        <w:t xml:space="preserve">La presente Lettera sarà </w:t>
      </w:r>
      <w:r>
        <w:rPr>
          <w:lang w:val="it-IT"/>
        </w:rPr>
        <w:t>gestita</w:t>
      </w:r>
      <w:r w:rsidRPr="00045F72">
        <w:rPr>
          <w:lang w:val="it-IT"/>
        </w:rPr>
        <w:t xml:space="preserve"> e interpretata in conformità con le leggi della Repubblica Italiana, in caso di controversia relativa alla validità/applicabilità della presente Lettera e/o del Servizio di Slot Supplementare sarà competente la sede indicata nel Contratto di Capacità</w:t>
      </w:r>
      <w:r w:rsidR="001047D6">
        <w:rPr>
          <w:lang w:val="it-IT"/>
        </w:rPr>
        <w:t>, avrà g</w:t>
      </w:r>
      <w:r w:rsidRPr="00045F72">
        <w:rPr>
          <w:lang w:val="it-IT"/>
        </w:rPr>
        <w:t>iurisdizione esclusiva.</w:t>
      </w:r>
    </w:p>
    <w:p w14:paraId="65C7F214" w14:textId="77777777" w:rsidR="00BE66ED" w:rsidRPr="00045F72" w:rsidRDefault="00BE66ED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</w:p>
    <w:p w14:paraId="429EDC35" w14:textId="1B4D1CDD" w:rsidR="00BE66ED" w:rsidRPr="004C6C3D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  <w:r w:rsidRPr="004C6C3D">
        <w:rPr>
          <w:rFonts w:asciiTheme="minorHAnsi" w:hAnsiTheme="minorHAnsi" w:cstheme="minorHAnsi"/>
          <w:highlight w:val="yellow"/>
          <w:lang w:val="it-IT"/>
        </w:rPr>
        <w:t>[</w:t>
      </w:r>
      <w:r w:rsidR="001047D6" w:rsidRPr="004C6C3D">
        <w:rPr>
          <w:rFonts w:asciiTheme="minorHAnsi" w:hAnsiTheme="minorHAnsi" w:cstheme="minorHAnsi"/>
          <w:highlight w:val="yellow"/>
          <w:lang w:val="it-IT"/>
        </w:rPr>
        <w:t>LUOGO E DATA</w:t>
      </w:r>
      <w:r w:rsidRPr="004C6C3D">
        <w:rPr>
          <w:rFonts w:asciiTheme="minorHAnsi" w:hAnsiTheme="minorHAnsi" w:cstheme="minorHAnsi"/>
          <w:highlight w:val="yellow"/>
          <w:lang w:val="it-IT"/>
        </w:rPr>
        <w:t>]</w:t>
      </w:r>
    </w:p>
    <w:p w14:paraId="6EED386A" w14:textId="77777777" w:rsidR="00615361" w:rsidRPr="004C6C3D" w:rsidRDefault="00615361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</w:p>
    <w:p w14:paraId="6372A928" w14:textId="1247FE23" w:rsidR="00BE66ED" w:rsidRPr="004C6C3D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  <w:r w:rsidRPr="004C6C3D">
        <w:rPr>
          <w:rFonts w:asciiTheme="minorHAnsi" w:hAnsiTheme="minorHAnsi" w:cstheme="minorHAnsi"/>
          <w:lang w:val="it-IT"/>
        </w:rPr>
        <w:t>__________________________</w:t>
      </w:r>
    </w:p>
    <w:p w14:paraId="4332E355" w14:textId="0BFD11A2" w:rsidR="00615361" w:rsidRPr="004C6C3D" w:rsidRDefault="001047D6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  <w:r w:rsidRPr="00341BD8">
        <w:rPr>
          <w:rFonts w:asciiTheme="minorHAnsi" w:hAnsiTheme="minorHAnsi" w:cstheme="minorHAnsi"/>
          <w:b/>
          <w:bCs/>
          <w:highlight w:val="yellow"/>
          <w:lang w:val="it-IT"/>
        </w:rPr>
        <w:t xml:space="preserve">NOME DELLA SOCIETA’ </w:t>
      </w:r>
    </w:p>
    <w:p w14:paraId="257A8CEC" w14:textId="77777777" w:rsidR="001047D6" w:rsidRPr="004C6C3D" w:rsidRDefault="001047D6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</w:p>
    <w:p w14:paraId="602975DF" w14:textId="77777777" w:rsidR="001047D6" w:rsidRPr="004C6C3D" w:rsidRDefault="001047D6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</w:p>
    <w:p w14:paraId="09CB495C" w14:textId="069A2156" w:rsidR="00BE66ED" w:rsidRPr="00301118" w:rsidRDefault="001047D6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  <w:r w:rsidRPr="00301118">
        <w:rPr>
          <w:rFonts w:asciiTheme="minorHAnsi" w:hAnsiTheme="minorHAnsi" w:cstheme="minorHAnsi"/>
          <w:lang w:val="it-IT"/>
        </w:rPr>
        <w:t>Per accettazione</w:t>
      </w:r>
      <w:r w:rsidR="00DE7BB9" w:rsidRPr="00301118">
        <w:rPr>
          <w:rFonts w:asciiTheme="minorHAnsi" w:hAnsiTheme="minorHAnsi" w:cstheme="minorHAnsi"/>
          <w:lang w:val="it-IT"/>
        </w:rPr>
        <w:t>:</w:t>
      </w:r>
    </w:p>
    <w:p w14:paraId="56C9F6A8" w14:textId="77777777" w:rsidR="00BE66ED" w:rsidRPr="00CA5CAA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  <w:r w:rsidRPr="00CA5CAA">
        <w:rPr>
          <w:rFonts w:asciiTheme="minorHAnsi" w:hAnsiTheme="minorHAnsi" w:cstheme="minorHAnsi"/>
          <w:lang w:val="it-IT"/>
        </w:rPr>
        <w:t>__________________________</w:t>
      </w:r>
    </w:p>
    <w:p w14:paraId="1D0879A1" w14:textId="252AC66A" w:rsidR="00BE66ED" w:rsidRPr="00CA5CAA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  <w:r w:rsidRPr="00CA5CAA">
        <w:rPr>
          <w:rFonts w:asciiTheme="minorHAnsi" w:hAnsiTheme="minorHAnsi" w:cstheme="minorHAnsi"/>
          <w:lang w:val="it-IT"/>
        </w:rPr>
        <w:t>Terminale GNL Adriatico S</w:t>
      </w:r>
      <w:r w:rsidR="00F90387" w:rsidRPr="00CA5CAA">
        <w:rPr>
          <w:rFonts w:asciiTheme="minorHAnsi" w:hAnsiTheme="minorHAnsi" w:cstheme="minorHAnsi"/>
          <w:lang w:val="it-IT"/>
        </w:rPr>
        <w:t>.</w:t>
      </w:r>
      <w:r w:rsidRPr="00CA5CAA">
        <w:rPr>
          <w:rFonts w:asciiTheme="minorHAnsi" w:hAnsiTheme="minorHAnsi" w:cstheme="minorHAnsi"/>
          <w:lang w:val="it-IT"/>
        </w:rPr>
        <w:t>r</w:t>
      </w:r>
      <w:r w:rsidR="00F90387" w:rsidRPr="00CA5CAA">
        <w:rPr>
          <w:rFonts w:asciiTheme="minorHAnsi" w:hAnsiTheme="minorHAnsi" w:cstheme="minorHAnsi"/>
          <w:lang w:val="it-IT"/>
        </w:rPr>
        <w:t>.</w:t>
      </w:r>
      <w:r w:rsidRPr="00CA5CAA">
        <w:rPr>
          <w:rFonts w:asciiTheme="minorHAnsi" w:hAnsiTheme="minorHAnsi" w:cstheme="minorHAnsi"/>
          <w:lang w:val="it-IT"/>
        </w:rPr>
        <w:t>l</w:t>
      </w:r>
      <w:r w:rsidR="00F90387" w:rsidRPr="00CA5CAA">
        <w:rPr>
          <w:rFonts w:asciiTheme="minorHAnsi" w:hAnsiTheme="minorHAnsi" w:cstheme="minorHAnsi"/>
          <w:lang w:val="it-IT"/>
        </w:rPr>
        <w:t>.</w:t>
      </w:r>
      <w:r w:rsidRPr="00CA5CAA">
        <w:rPr>
          <w:rFonts w:asciiTheme="minorHAnsi" w:hAnsiTheme="minorHAnsi" w:cstheme="minorHAnsi"/>
          <w:lang w:val="it-IT"/>
        </w:rPr>
        <w:t xml:space="preserve"> </w:t>
      </w:r>
    </w:p>
    <w:sectPr w:rsidR="00BE66ED" w:rsidRPr="00CA5CA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C95D1" w14:textId="77777777" w:rsidR="00A91017" w:rsidRDefault="00A91017">
      <w:pPr>
        <w:spacing w:after="0" w:line="240" w:lineRule="auto"/>
      </w:pPr>
      <w:r>
        <w:separator/>
      </w:r>
    </w:p>
  </w:endnote>
  <w:endnote w:type="continuationSeparator" w:id="0">
    <w:p w14:paraId="22214839" w14:textId="77777777" w:rsidR="00A91017" w:rsidRDefault="00A91017">
      <w:pPr>
        <w:spacing w:after="0" w:line="240" w:lineRule="auto"/>
      </w:pPr>
      <w:r>
        <w:continuationSeparator/>
      </w:r>
    </w:p>
  </w:endnote>
  <w:endnote w:type="continuationNotice" w:id="1">
    <w:p w14:paraId="2FFB22BB" w14:textId="77777777" w:rsidR="00A91017" w:rsidRDefault="00A91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E407" w14:textId="3AD6264F" w:rsidR="001047D6" w:rsidRPr="001047D6" w:rsidRDefault="001047D6">
    <w:pPr>
      <w:pStyle w:val="Footer"/>
      <w:rPr>
        <w:color w:val="767171" w:themeColor="background2" w:themeShade="80"/>
        <w:sz w:val="16"/>
        <w:szCs w:val="16"/>
      </w:rPr>
    </w:pPr>
    <w:proofErr w:type="spellStart"/>
    <w:r w:rsidRPr="001047D6">
      <w:rPr>
        <w:color w:val="767171" w:themeColor="background2" w:themeShade="80"/>
        <w:sz w:val="16"/>
        <w:szCs w:val="16"/>
      </w:rPr>
      <w:t>Rivisto</w:t>
    </w:r>
    <w:proofErr w:type="spellEnd"/>
    <w:r w:rsidRPr="001047D6">
      <w:rPr>
        <w:color w:val="767171" w:themeColor="background2" w:themeShade="80"/>
        <w:sz w:val="16"/>
        <w:szCs w:val="16"/>
      </w:rPr>
      <w:t xml:space="preserve"> </w:t>
    </w:r>
    <w:proofErr w:type="spellStart"/>
    <w:r w:rsidR="00CB73AF">
      <w:rPr>
        <w:color w:val="767171" w:themeColor="background2" w:themeShade="80"/>
        <w:sz w:val="16"/>
        <w:szCs w:val="16"/>
      </w:rPr>
      <w:t>luglio</w:t>
    </w:r>
    <w:proofErr w:type="spellEnd"/>
    <w:r w:rsidR="00301118" w:rsidRPr="001047D6">
      <w:rPr>
        <w:color w:val="767171" w:themeColor="background2" w:themeShade="80"/>
        <w:sz w:val="16"/>
        <w:szCs w:val="16"/>
      </w:rPr>
      <w:t xml:space="preserve"> </w:t>
    </w:r>
    <w:r w:rsidRPr="001047D6">
      <w:rPr>
        <w:color w:val="767171" w:themeColor="background2" w:themeShade="80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16477" w14:textId="77777777" w:rsidR="00A91017" w:rsidRDefault="00A910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CF87A2" w14:textId="77777777" w:rsidR="00A91017" w:rsidRDefault="00A91017">
      <w:pPr>
        <w:spacing w:after="0" w:line="240" w:lineRule="auto"/>
      </w:pPr>
      <w:r>
        <w:continuationSeparator/>
      </w:r>
    </w:p>
  </w:footnote>
  <w:footnote w:type="continuationNotice" w:id="1">
    <w:p w14:paraId="3C5763AA" w14:textId="77777777" w:rsidR="00A91017" w:rsidRDefault="00A910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1109" w14:textId="4C8258A6" w:rsidR="00CA4F5F" w:rsidRDefault="00D85C4E">
    <w:pPr>
      <w:pStyle w:val="Header"/>
      <w:jc w:val="center"/>
    </w:pPr>
    <w:r>
      <w:t xml:space="preserve">Su carta </w:t>
    </w:r>
    <w:proofErr w:type="spellStart"/>
    <w:r>
      <w:t>intestat</w:t>
    </w:r>
    <w:r w:rsidR="000556CF">
      <w:t>a</w:t>
    </w:r>
    <w:proofErr w:type="spellEnd"/>
    <w:r>
      <w:t xml:space="preserve"> </w:t>
    </w:r>
    <w:proofErr w:type="spellStart"/>
    <w:r>
      <w:t>dell’Utente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7C1C"/>
    <w:multiLevelType w:val="hybridMultilevel"/>
    <w:tmpl w:val="5964AA98"/>
    <w:lvl w:ilvl="0" w:tplc="CC68264A">
      <w:start w:val="4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CB08F3"/>
    <w:multiLevelType w:val="hybridMultilevel"/>
    <w:tmpl w:val="01B4B0D2"/>
    <w:lvl w:ilvl="0" w:tplc="FFE45D66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1" w:tplc="92D4585A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2" w:tplc="CB90FC38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3" w:tplc="A94EAE9E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4" w:tplc="765C1816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5" w:tplc="5FB07592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6" w:tplc="F1A6FC72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7" w:tplc="5E44AC80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8" w:tplc="4E86DC64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</w:abstractNum>
  <w:abstractNum w:abstractNumId="2" w15:restartNumberingAfterBreak="0">
    <w:nsid w:val="26D60F35"/>
    <w:multiLevelType w:val="multilevel"/>
    <w:tmpl w:val="34FAD13A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BDB29F8"/>
    <w:multiLevelType w:val="multilevel"/>
    <w:tmpl w:val="87A2E98C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2C24AAE"/>
    <w:multiLevelType w:val="hybridMultilevel"/>
    <w:tmpl w:val="695ECC9E"/>
    <w:lvl w:ilvl="0" w:tplc="69242772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1" w:tplc="CD4A05A4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2" w:tplc="9E942904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3" w:tplc="D722AEB6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4" w:tplc="1F80F0F6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5" w:tplc="8F6C8CBE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6" w:tplc="EF7061FC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7" w:tplc="6D70DF84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8" w:tplc="682AAD7E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</w:abstractNum>
  <w:num w:numId="1" w16cid:durableId="1525054464">
    <w:abstractNumId w:val="2"/>
  </w:num>
  <w:num w:numId="2" w16cid:durableId="930160683">
    <w:abstractNumId w:val="3"/>
  </w:num>
  <w:num w:numId="3" w16cid:durableId="437679177">
    <w:abstractNumId w:val="0"/>
  </w:num>
  <w:num w:numId="4" w16cid:durableId="990674572">
    <w:abstractNumId w:val="1"/>
  </w:num>
  <w:num w:numId="5" w16cid:durableId="628896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NotTrackFormatting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ED"/>
    <w:rsid w:val="00002C7F"/>
    <w:rsid w:val="0000653D"/>
    <w:rsid w:val="00045F72"/>
    <w:rsid w:val="000556CF"/>
    <w:rsid w:val="00071622"/>
    <w:rsid w:val="00081B54"/>
    <w:rsid w:val="000836C8"/>
    <w:rsid w:val="0009308D"/>
    <w:rsid w:val="000A160B"/>
    <w:rsid w:val="000D364D"/>
    <w:rsid w:val="001047D6"/>
    <w:rsid w:val="00110906"/>
    <w:rsid w:val="00110A9A"/>
    <w:rsid w:val="0012249E"/>
    <w:rsid w:val="001231D7"/>
    <w:rsid w:val="00153E74"/>
    <w:rsid w:val="0016339D"/>
    <w:rsid w:val="00194A2E"/>
    <w:rsid w:val="001A61B5"/>
    <w:rsid w:val="001B1B15"/>
    <w:rsid w:val="001D09D7"/>
    <w:rsid w:val="001D6AD8"/>
    <w:rsid w:val="0020065E"/>
    <w:rsid w:val="00221988"/>
    <w:rsid w:val="00254E76"/>
    <w:rsid w:val="00262DEC"/>
    <w:rsid w:val="00274486"/>
    <w:rsid w:val="00284521"/>
    <w:rsid w:val="002868AC"/>
    <w:rsid w:val="002D40E3"/>
    <w:rsid w:val="00301118"/>
    <w:rsid w:val="003153A5"/>
    <w:rsid w:val="003219CD"/>
    <w:rsid w:val="003410F9"/>
    <w:rsid w:val="00341BD8"/>
    <w:rsid w:val="003707E4"/>
    <w:rsid w:val="003762D3"/>
    <w:rsid w:val="003B130A"/>
    <w:rsid w:val="003C13C7"/>
    <w:rsid w:val="003D1DFF"/>
    <w:rsid w:val="003F195B"/>
    <w:rsid w:val="00425C63"/>
    <w:rsid w:val="004347A8"/>
    <w:rsid w:val="00457C3E"/>
    <w:rsid w:val="00466215"/>
    <w:rsid w:val="00472860"/>
    <w:rsid w:val="00483739"/>
    <w:rsid w:val="00493636"/>
    <w:rsid w:val="004C6C3D"/>
    <w:rsid w:val="004E3913"/>
    <w:rsid w:val="004E4217"/>
    <w:rsid w:val="004F1A39"/>
    <w:rsid w:val="005469BC"/>
    <w:rsid w:val="0056547B"/>
    <w:rsid w:val="005661D8"/>
    <w:rsid w:val="00570DB5"/>
    <w:rsid w:val="005A7E30"/>
    <w:rsid w:val="005C0620"/>
    <w:rsid w:val="005C154B"/>
    <w:rsid w:val="005F1387"/>
    <w:rsid w:val="00615361"/>
    <w:rsid w:val="0063276A"/>
    <w:rsid w:val="00642604"/>
    <w:rsid w:val="00645BCA"/>
    <w:rsid w:val="006514A6"/>
    <w:rsid w:val="0066073F"/>
    <w:rsid w:val="0068331B"/>
    <w:rsid w:val="006E43F3"/>
    <w:rsid w:val="0072779A"/>
    <w:rsid w:val="0074469E"/>
    <w:rsid w:val="007614E8"/>
    <w:rsid w:val="007671C5"/>
    <w:rsid w:val="00776937"/>
    <w:rsid w:val="007B4AFE"/>
    <w:rsid w:val="007C0129"/>
    <w:rsid w:val="007D2E1A"/>
    <w:rsid w:val="007D78E0"/>
    <w:rsid w:val="007E6BD8"/>
    <w:rsid w:val="007F7469"/>
    <w:rsid w:val="00836036"/>
    <w:rsid w:val="00840592"/>
    <w:rsid w:val="008562B9"/>
    <w:rsid w:val="008864E9"/>
    <w:rsid w:val="0089409C"/>
    <w:rsid w:val="00896628"/>
    <w:rsid w:val="00897EE8"/>
    <w:rsid w:val="008B7866"/>
    <w:rsid w:val="008D29C7"/>
    <w:rsid w:val="008D7987"/>
    <w:rsid w:val="008E59A0"/>
    <w:rsid w:val="0092085A"/>
    <w:rsid w:val="0093233C"/>
    <w:rsid w:val="00941FEA"/>
    <w:rsid w:val="009420AF"/>
    <w:rsid w:val="00952685"/>
    <w:rsid w:val="00991A20"/>
    <w:rsid w:val="009A1EF7"/>
    <w:rsid w:val="009C0102"/>
    <w:rsid w:val="009D2654"/>
    <w:rsid w:val="009E27AF"/>
    <w:rsid w:val="009F0D3A"/>
    <w:rsid w:val="009F401D"/>
    <w:rsid w:val="00A427A6"/>
    <w:rsid w:val="00A46B50"/>
    <w:rsid w:val="00A51786"/>
    <w:rsid w:val="00A54000"/>
    <w:rsid w:val="00A55537"/>
    <w:rsid w:val="00A56923"/>
    <w:rsid w:val="00A72575"/>
    <w:rsid w:val="00A72B3A"/>
    <w:rsid w:val="00A73D8D"/>
    <w:rsid w:val="00A845CF"/>
    <w:rsid w:val="00A91017"/>
    <w:rsid w:val="00AB0313"/>
    <w:rsid w:val="00AC6598"/>
    <w:rsid w:val="00B0760A"/>
    <w:rsid w:val="00B07CC1"/>
    <w:rsid w:val="00B15195"/>
    <w:rsid w:val="00B22100"/>
    <w:rsid w:val="00B32D6A"/>
    <w:rsid w:val="00B60562"/>
    <w:rsid w:val="00B612FE"/>
    <w:rsid w:val="00B61AD4"/>
    <w:rsid w:val="00B8385F"/>
    <w:rsid w:val="00B90DA4"/>
    <w:rsid w:val="00B93B8E"/>
    <w:rsid w:val="00BA65A8"/>
    <w:rsid w:val="00BC38FD"/>
    <w:rsid w:val="00BE66ED"/>
    <w:rsid w:val="00C16A45"/>
    <w:rsid w:val="00C173C6"/>
    <w:rsid w:val="00C547B9"/>
    <w:rsid w:val="00C55ADE"/>
    <w:rsid w:val="00C56FBD"/>
    <w:rsid w:val="00C66BA0"/>
    <w:rsid w:val="00C93617"/>
    <w:rsid w:val="00CA2012"/>
    <w:rsid w:val="00CA4F5F"/>
    <w:rsid w:val="00CA5CAA"/>
    <w:rsid w:val="00CB73AF"/>
    <w:rsid w:val="00CB7661"/>
    <w:rsid w:val="00CC017A"/>
    <w:rsid w:val="00CC0BBC"/>
    <w:rsid w:val="00CF48C6"/>
    <w:rsid w:val="00D0439E"/>
    <w:rsid w:val="00D116F4"/>
    <w:rsid w:val="00D30F5C"/>
    <w:rsid w:val="00D47E01"/>
    <w:rsid w:val="00D85C4E"/>
    <w:rsid w:val="00DA36AC"/>
    <w:rsid w:val="00DB732A"/>
    <w:rsid w:val="00DD2A4E"/>
    <w:rsid w:val="00DE5334"/>
    <w:rsid w:val="00DE6332"/>
    <w:rsid w:val="00DE6A52"/>
    <w:rsid w:val="00DE7BB9"/>
    <w:rsid w:val="00DF3A4F"/>
    <w:rsid w:val="00DF51EF"/>
    <w:rsid w:val="00DF5E21"/>
    <w:rsid w:val="00DF6894"/>
    <w:rsid w:val="00E12ACA"/>
    <w:rsid w:val="00E3382F"/>
    <w:rsid w:val="00E461B8"/>
    <w:rsid w:val="00E871B3"/>
    <w:rsid w:val="00E933C7"/>
    <w:rsid w:val="00E95C1C"/>
    <w:rsid w:val="00EB2635"/>
    <w:rsid w:val="00EB4D94"/>
    <w:rsid w:val="00EE1B4B"/>
    <w:rsid w:val="00F07389"/>
    <w:rsid w:val="00F127BC"/>
    <w:rsid w:val="00F228FA"/>
    <w:rsid w:val="00F47E38"/>
    <w:rsid w:val="00F55348"/>
    <w:rsid w:val="00F8150D"/>
    <w:rsid w:val="00F820D5"/>
    <w:rsid w:val="00F857A6"/>
    <w:rsid w:val="00F90387"/>
    <w:rsid w:val="00FB2DEF"/>
    <w:rsid w:val="00FB4295"/>
    <w:rsid w:val="00FD41BD"/>
    <w:rsid w:val="00FD5B8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06678"/>
  <w15:docId w15:val="{E9C46C61-099B-4B3B-AA95-0A1F345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4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439E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56CD-33E3-4B70-846F-5307204F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Bratina Carlo Alberto</dc:creator>
  <dc:description/>
  <cp:lastModifiedBy>Micello Silvia</cp:lastModifiedBy>
  <cp:revision>28</cp:revision>
  <dcterms:created xsi:type="dcterms:W3CDTF">2024-04-09T16:05:00Z</dcterms:created>
  <dcterms:modified xsi:type="dcterms:W3CDTF">2024-07-22T15:05:00Z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