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3568" w14:textId="77777777" w:rsidR="00ED40B5" w:rsidRDefault="00ED40B5" w:rsidP="00ED40B5">
      <w:pPr>
        <w:pStyle w:val="AODocTxt"/>
        <w:numPr>
          <w:ilvl w:val="0"/>
          <w:numId w:val="0"/>
        </w:numPr>
        <w:jc w:val="center"/>
        <w:rPr>
          <w:b/>
        </w:rPr>
      </w:pPr>
      <w:r w:rsidRPr="0034407B">
        <w:rPr>
          <w:b/>
        </w:rPr>
        <w:t>Non-Foundation</w:t>
      </w:r>
      <w:r>
        <w:rPr>
          <w:b/>
        </w:rPr>
        <w:t xml:space="preserve"> Capacity Agreement</w:t>
      </w:r>
    </w:p>
    <w:p w14:paraId="53DF9665" w14:textId="77777777" w:rsidR="00ED40B5" w:rsidRDefault="00ED40B5" w:rsidP="00ED40B5">
      <w:pPr>
        <w:jc w:val="both"/>
      </w:pPr>
    </w:p>
    <w:p w14:paraId="439982B3" w14:textId="77777777" w:rsidR="00ED40B5" w:rsidRPr="000152DD" w:rsidRDefault="00ED40B5" w:rsidP="00ED40B5">
      <w:pPr>
        <w:pStyle w:val="AONormal"/>
        <w:jc w:val="both"/>
        <w:rPr>
          <w:lang w:val="en-US"/>
        </w:rPr>
      </w:pPr>
      <w:r w:rsidRPr="000152DD">
        <w:rPr>
          <w:lang w:val="en-US"/>
        </w:rPr>
        <w:t xml:space="preserve">This </w:t>
      </w:r>
      <w:r w:rsidRPr="005E3E69">
        <w:rPr>
          <w:lang w:val="en-US"/>
        </w:rPr>
        <w:t>Non-Foundation</w:t>
      </w:r>
      <w:r w:rsidRPr="000152DD">
        <w:rPr>
          <w:lang w:val="en-US"/>
        </w:rPr>
        <w:t xml:space="preserve"> Capacity Agreement (the “</w:t>
      </w:r>
      <w:r w:rsidRPr="000152DD">
        <w:rPr>
          <w:b/>
          <w:lang w:val="en-US"/>
        </w:rPr>
        <w:t>Capacity Agreement</w:t>
      </w:r>
      <w:r w:rsidRPr="000152DD">
        <w:rPr>
          <w:lang w:val="en-US"/>
        </w:rPr>
        <w:t>”), is entered into between [</w:t>
      </w:r>
      <w:r w:rsidRPr="000152DD">
        <w:rPr>
          <w:i/>
          <w:lang w:val="en-US"/>
        </w:rPr>
        <w:t>User</w:t>
      </w:r>
      <w:r w:rsidRPr="000152DD">
        <w:rPr>
          <w:lang w:val="en-US"/>
        </w:rPr>
        <w:t>], a company incorporated and existing under the laws of [</w:t>
      </w:r>
      <w:r w:rsidRPr="000152DD">
        <w:rPr>
          <w:i/>
          <w:lang w:val="en-US"/>
        </w:rPr>
        <w:t>User’ State of incorporation</w:t>
      </w:r>
      <w:r w:rsidRPr="000152DD">
        <w:rPr>
          <w:lang w:val="en-US"/>
        </w:rPr>
        <w:t>], registered with the [</w:t>
      </w:r>
      <w:r w:rsidRPr="000152DD">
        <w:rPr>
          <w:i/>
          <w:lang w:val="en-US"/>
        </w:rPr>
        <w:t>User’s Registered Office</w:t>
      </w:r>
      <w:r w:rsidRPr="000152DD">
        <w:rPr>
          <w:lang w:val="en-US"/>
        </w:rPr>
        <w:t>] under number [</w:t>
      </w:r>
      <w:r w:rsidRPr="000152DD">
        <w:rPr>
          <w:i/>
          <w:lang w:val="en-US"/>
        </w:rPr>
        <w:t>registration number</w:t>
      </w:r>
      <w:r w:rsidRPr="000152DD">
        <w:rPr>
          <w:lang w:val="en-US"/>
        </w:rPr>
        <w:t>], tax code number [</w:t>
      </w:r>
      <w:r w:rsidRPr="000152DD">
        <w:rPr>
          <w:i/>
          <w:lang w:val="en-US"/>
        </w:rPr>
        <w:t>tax code number</w:t>
      </w:r>
      <w:r w:rsidRPr="000152DD">
        <w:rPr>
          <w:lang w:val="en-US"/>
        </w:rPr>
        <w:t>], whose principal office is located at [</w:t>
      </w:r>
      <w:r w:rsidRPr="000152DD">
        <w:rPr>
          <w:i/>
          <w:lang w:val="en-US"/>
        </w:rPr>
        <w:t>User’s address</w:t>
      </w:r>
      <w:r w:rsidRPr="000152DD">
        <w:rPr>
          <w:lang w:val="en-US"/>
        </w:rPr>
        <w:t>] (the “</w:t>
      </w:r>
      <w:r w:rsidRPr="000152DD">
        <w:rPr>
          <w:b/>
          <w:lang w:val="en-US"/>
        </w:rPr>
        <w:t>User</w:t>
      </w:r>
      <w:r w:rsidRPr="000152DD">
        <w:rPr>
          <w:lang w:val="en-US"/>
        </w:rPr>
        <w:t>”)</w:t>
      </w:r>
      <w:r w:rsidRPr="000152DD">
        <w:rPr>
          <w:rStyle w:val="FootnoteReference"/>
          <w:lang w:val="en-US"/>
        </w:rPr>
        <w:t xml:space="preserve"> </w:t>
      </w:r>
      <w:r>
        <w:rPr>
          <w:rStyle w:val="FootnoteReference"/>
        </w:rPr>
        <w:footnoteReference w:id="1"/>
      </w:r>
      <w:r w:rsidRPr="000152DD">
        <w:rPr>
          <w:lang w:val="en-US"/>
        </w:rPr>
        <w:t xml:space="preserve"> and </w:t>
      </w:r>
      <w:proofErr w:type="spellStart"/>
      <w:r>
        <w:rPr>
          <w:b/>
          <w:lang w:val="en-US"/>
        </w:rPr>
        <w:t>Terminale</w:t>
      </w:r>
      <w:proofErr w:type="spellEnd"/>
      <w:r>
        <w:rPr>
          <w:b/>
          <w:lang w:val="en-US"/>
        </w:rPr>
        <w:t xml:space="preserve"> GNL </w:t>
      </w:r>
      <w:proofErr w:type="spellStart"/>
      <w:r>
        <w:rPr>
          <w:b/>
          <w:lang w:val="en-US"/>
        </w:rPr>
        <w:t>Adriatico</w:t>
      </w:r>
      <w:proofErr w:type="spellEnd"/>
      <w:r>
        <w:rPr>
          <w:b/>
          <w:lang w:val="en-US"/>
        </w:rPr>
        <w:t xml:space="preserve"> </w:t>
      </w:r>
      <w:proofErr w:type="spellStart"/>
      <w:r>
        <w:rPr>
          <w:b/>
          <w:lang w:val="en-US"/>
        </w:rPr>
        <w:t>S.r.l</w:t>
      </w:r>
      <w:proofErr w:type="spellEnd"/>
      <w:r>
        <w:rPr>
          <w:b/>
          <w:lang w:val="en-US"/>
        </w:rPr>
        <w:t>.</w:t>
      </w:r>
      <w:r>
        <w:rPr>
          <w:lang w:val="en-US"/>
        </w:rPr>
        <w:t xml:space="preserve">, a company incorporated and existing under the laws of the Republic of Italy, registered with the Milan </w:t>
      </w:r>
      <w:proofErr w:type="spellStart"/>
      <w:r>
        <w:rPr>
          <w:i/>
          <w:lang w:val="en-US"/>
        </w:rPr>
        <w:t>Registro</w:t>
      </w:r>
      <w:proofErr w:type="spellEnd"/>
      <w:r>
        <w:rPr>
          <w:i/>
          <w:lang w:val="en-US"/>
        </w:rPr>
        <w:t xml:space="preserve"> </w:t>
      </w:r>
      <w:proofErr w:type="spellStart"/>
      <w:r>
        <w:rPr>
          <w:i/>
          <w:lang w:val="en-US"/>
        </w:rPr>
        <w:t>delle</w:t>
      </w:r>
      <w:proofErr w:type="spellEnd"/>
      <w:r>
        <w:rPr>
          <w:i/>
          <w:lang w:val="en-US"/>
        </w:rPr>
        <w:t xml:space="preserve"> </w:t>
      </w:r>
      <w:proofErr w:type="spellStart"/>
      <w:r>
        <w:rPr>
          <w:i/>
          <w:lang w:val="en-US"/>
        </w:rPr>
        <w:t>Imprese</w:t>
      </w:r>
      <w:proofErr w:type="spellEnd"/>
      <w:r>
        <w:rPr>
          <w:lang w:val="en-US"/>
        </w:rPr>
        <w:t xml:space="preserve"> under number 1788519, fiscal code/VAT code number 13289520150 and whose principal office is located </w:t>
      </w:r>
      <w:r w:rsidRPr="000152DD">
        <w:rPr>
          <w:lang w:val="en-US"/>
        </w:rPr>
        <w:t xml:space="preserve">at </w:t>
      </w:r>
      <w:r w:rsidRPr="00C6555E">
        <w:rPr>
          <w:lang w:val="en-US"/>
        </w:rPr>
        <w:t xml:space="preserve">Via Santa </w:t>
      </w:r>
      <w:proofErr w:type="spellStart"/>
      <w:r w:rsidRPr="00C6555E">
        <w:rPr>
          <w:lang w:val="en-US"/>
        </w:rPr>
        <w:t>Radegonda</w:t>
      </w:r>
      <w:proofErr w:type="spellEnd"/>
      <w:r w:rsidRPr="00C6555E">
        <w:rPr>
          <w:lang w:val="en-US"/>
        </w:rPr>
        <w:t xml:space="preserve">  8</w:t>
      </w:r>
      <w:r>
        <w:rPr>
          <w:lang w:val="en-US"/>
        </w:rPr>
        <w:t xml:space="preserve">, </w:t>
      </w:r>
      <w:r w:rsidRPr="000152DD">
        <w:rPr>
          <w:lang w:val="en-US"/>
        </w:rPr>
        <w:t>201</w:t>
      </w:r>
      <w:r>
        <w:rPr>
          <w:lang w:val="en-US"/>
        </w:rPr>
        <w:t>21</w:t>
      </w:r>
      <w:r w:rsidRPr="000152DD">
        <w:rPr>
          <w:lang w:val="en-US"/>
        </w:rPr>
        <w:t xml:space="preserve"> Milan, Italy (</w:t>
      </w:r>
      <w:r w:rsidRPr="000152DD">
        <w:rPr>
          <w:b/>
          <w:lang w:val="en-US"/>
        </w:rPr>
        <w:t>“Operating Company</w:t>
      </w:r>
      <w:r w:rsidRPr="000152DD">
        <w:rPr>
          <w:lang w:val="en-US"/>
        </w:rPr>
        <w:t xml:space="preserve">”). </w:t>
      </w:r>
      <w:r>
        <w:rPr>
          <w:lang w:val="en-US"/>
        </w:rPr>
        <w:t xml:space="preserve"> </w:t>
      </w:r>
      <w:r w:rsidRPr="000152DD">
        <w:rPr>
          <w:lang w:val="en-US"/>
        </w:rPr>
        <w:t xml:space="preserve">Collectively, the User and the Operating Company are referred to herein as the </w:t>
      </w:r>
      <w:r w:rsidRPr="000152DD">
        <w:rPr>
          <w:b/>
          <w:lang w:val="en-US"/>
        </w:rPr>
        <w:t>“Parties</w:t>
      </w:r>
      <w:r w:rsidRPr="000152DD">
        <w:rPr>
          <w:lang w:val="en-US"/>
        </w:rPr>
        <w:t>”.</w:t>
      </w:r>
    </w:p>
    <w:p w14:paraId="7337EDFB" w14:textId="77777777" w:rsidR="00ED40B5" w:rsidRDefault="00ED40B5" w:rsidP="00ED40B5">
      <w:pPr>
        <w:pStyle w:val="BodyText"/>
        <w:rPr>
          <w:szCs w:val="22"/>
          <w:lang w:val="en-US"/>
        </w:rPr>
      </w:pPr>
    </w:p>
    <w:p w14:paraId="43B1B809" w14:textId="77777777" w:rsidR="00ED40B5" w:rsidRDefault="00ED40B5" w:rsidP="00ED40B5">
      <w:pPr>
        <w:pStyle w:val="BodyText"/>
        <w:jc w:val="center"/>
        <w:outlineLvl w:val="0"/>
        <w:rPr>
          <w:b/>
          <w:szCs w:val="22"/>
          <w:lang w:val="en-US"/>
        </w:rPr>
      </w:pPr>
      <w:r>
        <w:rPr>
          <w:b/>
          <w:szCs w:val="22"/>
          <w:lang w:val="en-US"/>
        </w:rPr>
        <w:t>RECITALS</w:t>
      </w:r>
    </w:p>
    <w:p w14:paraId="13EE02DF" w14:textId="77777777" w:rsidR="00ED40B5" w:rsidRDefault="00ED40B5" w:rsidP="00ED40B5">
      <w:pPr>
        <w:pStyle w:val="AODocTxt"/>
      </w:pPr>
      <w:r>
        <w:t xml:space="preserve">On 15 February 2010 the Operating Company has implemented </w:t>
      </w:r>
      <w:proofErr w:type="gramStart"/>
      <w:r>
        <w:t>an</w:t>
      </w:r>
      <w:proofErr w:type="gramEnd"/>
      <w:r>
        <w:t xml:space="preserve"> Regasification</w:t>
      </w:r>
      <w:r w:rsidDel="00C37EC1">
        <w:t xml:space="preserve"> </w:t>
      </w:r>
      <w:r>
        <w:t>Code (the “</w:t>
      </w:r>
      <w:r w:rsidRPr="00682654">
        <w:rPr>
          <w:b/>
        </w:rPr>
        <w:t>Regasification</w:t>
      </w:r>
      <w:r>
        <w:rPr>
          <w:b/>
        </w:rPr>
        <w:t xml:space="preserve"> Code</w:t>
      </w:r>
      <w:r>
        <w:t xml:space="preserve">”) providing the conditions for access to the offshore regasification terminal owned by the Operating Company located approximately 17 km offshore Porto Levante, Italy, </w:t>
      </w:r>
    </w:p>
    <w:p w14:paraId="2CF0D112" w14:textId="77777777" w:rsidR="00ED40B5" w:rsidRDefault="00ED40B5" w:rsidP="00ED40B5">
      <w:pPr>
        <w:pStyle w:val="AODocTxt"/>
      </w:pPr>
      <w:r>
        <w:t xml:space="preserve">On 12 May 2011 the Regasification Code has been approved by the ARERA by resolution Arg/Gas n° 57/11 pursuant to article 24, sub-section V of the legislative decree no. </w:t>
      </w:r>
      <w:proofErr w:type="gramStart"/>
      <w:r>
        <w:t>164/2000;</w:t>
      </w:r>
      <w:proofErr w:type="gramEnd"/>
    </w:p>
    <w:p w14:paraId="2D9171E3" w14:textId="77777777" w:rsidR="00ED40B5" w:rsidRPr="00B0447F" w:rsidRDefault="00ED40B5" w:rsidP="00ED40B5">
      <w:pPr>
        <w:pStyle w:val="AODocTxt"/>
        <w:rPr>
          <w:highlight w:val="yellow"/>
        </w:rPr>
      </w:pPr>
      <w:r>
        <w:t xml:space="preserve">The Operating Company, pursuant to </w:t>
      </w:r>
      <w:r w:rsidRPr="00042B8A">
        <w:t>clause</w:t>
      </w:r>
      <w:r>
        <w:t xml:space="preserve"> </w:t>
      </w:r>
      <w:r>
        <w:fldChar w:fldCharType="begin"/>
      </w:r>
      <w:r>
        <w:instrText xml:space="preserve"> REF _Ref478211727 \n \h </w:instrText>
      </w:r>
      <w:r>
        <w:fldChar w:fldCharType="separate"/>
      </w:r>
      <w:r>
        <w:t>II.2.3</w:t>
      </w:r>
      <w:r>
        <w:fldChar w:fldCharType="end"/>
      </w:r>
      <w:r>
        <w:t xml:space="preserve"> of chapter II of the Regasification Code</w:t>
      </w:r>
      <w:r w:rsidRPr="00591A88">
        <w:t xml:space="preserve">, has published on its Electronic Communication System: </w:t>
      </w:r>
      <w:proofErr w:type="spellStart"/>
      <w:r w:rsidRPr="00591A88">
        <w:t>i</w:t>
      </w:r>
      <w:proofErr w:type="spellEnd"/>
      <w:r w:rsidRPr="00591A88">
        <w:t xml:space="preserve">) the Available Capacity; and </w:t>
      </w:r>
      <w:r w:rsidRPr="00C6555E">
        <w:rPr>
          <w:rFonts w:ascii="CIDFont+F1" w:eastAsia="CIDFont+F1" w:cs="CIDFont+F1"/>
          <w:sz w:val="21"/>
          <w:szCs w:val="21"/>
          <w:lang w:val="en-US"/>
        </w:rPr>
        <w:t>[</w:t>
      </w:r>
      <w:r w:rsidRPr="00C6555E">
        <w:t>ii)</w:t>
      </w:r>
      <w:r w:rsidRPr="00AE0231">
        <w:t xml:space="preserve"> </w:t>
      </w:r>
      <w:r w:rsidRPr="00C6555E">
        <w:t>the Incremental Capacity, if applicable</w:t>
      </w:r>
      <w:r w:rsidRPr="00AE0231">
        <w:t xml:space="preserve"> </w:t>
      </w:r>
      <w:r w:rsidRPr="00C6555E">
        <w:rPr>
          <w:rFonts w:ascii="CIDFont+F1" w:eastAsia="CIDFont+F1" w:cs="CIDFont+F1"/>
          <w:sz w:val="21"/>
          <w:szCs w:val="21"/>
          <w:lang w:val="en-US"/>
        </w:rPr>
        <w:t>]</w:t>
      </w:r>
      <w:r>
        <w:t xml:space="preserve"> </w:t>
      </w:r>
      <w:r w:rsidRPr="00591A88">
        <w:t xml:space="preserve"> </w:t>
      </w:r>
      <w:r w:rsidRPr="00A44612">
        <w:t>ii)</w:t>
      </w:r>
      <w:r>
        <w:t xml:space="preserve"> </w:t>
      </w:r>
      <w:r w:rsidRPr="00591A88">
        <w:t xml:space="preserve">the number and the </w:t>
      </w:r>
      <w:r>
        <w:t>schedule</w:t>
      </w:r>
      <w:r w:rsidRPr="00591A88">
        <w:t>, if known, of available Unloading Slots in each Month;</w:t>
      </w:r>
    </w:p>
    <w:p w14:paraId="3FCADCD8" w14:textId="77777777" w:rsidR="00ED40B5" w:rsidRPr="00FE120F" w:rsidRDefault="00ED40B5" w:rsidP="00ED40B5">
      <w:pPr>
        <w:pStyle w:val="AODocTxt"/>
        <w:rPr>
          <w:highlight w:val="yellow"/>
        </w:rPr>
      </w:pPr>
      <w:r w:rsidRPr="00860AD7">
        <w:t>On [insert date]</w:t>
      </w:r>
      <w:r>
        <w:t xml:space="preserve"> the User has submitted an Access Request for [</w:t>
      </w:r>
      <w:r w:rsidRPr="00B97F8B">
        <w:rPr>
          <w:i/>
        </w:rPr>
        <w:t xml:space="preserve">Available </w:t>
      </w:r>
      <w:r w:rsidRPr="00AE0231">
        <w:rPr>
          <w:i/>
        </w:rPr>
        <w:t>Capacity/</w:t>
      </w:r>
      <w:r w:rsidRPr="00C6555E">
        <w:t xml:space="preserve"> Incremental Capacity</w:t>
      </w:r>
      <w:r>
        <w:rPr>
          <w:i/>
        </w:rPr>
        <w:t xml:space="preserve"> /Available </w:t>
      </w:r>
      <w:r w:rsidRPr="00B97F8B">
        <w:rPr>
          <w:i/>
        </w:rPr>
        <w:t xml:space="preserve">Capacity </w:t>
      </w:r>
      <w:r>
        <w:rPr>
          <w:i/>
        </w:rPr>
        <w:t xml:space="preserve">utilising Capacity </w:t>
      </w:r>
      <w:r w:rsidRPr="00B97F8B">
        <w:rPr>
          <w:i/>
        </w:rPr>
        <w:t>Make-up</w:t>
      </w:r>
      <w:r>
        <w:t>]</w:t>
      </w:r>
      <w:r>
        <w:rPr>
          <w:rStyle w:val="FootnoteReference"/>
        </w:rPr>
        <w:footnoteReference w:id="2"/>
      </w:r>
      <w:r>
        <w:t xml:space="preserve"> pursuant to article </w:t>
      </w:r>
      <w:r>
        <w:fldChar w:fldCharType="begin"/>
      </w:r>
      <w:r>
        <w:instrText xml:space="preserve"> REF _Ref477007897 \n \h </w:instrText>
      </w:r>
      <w:r>
        <w:fldChar w:fldCharType="separate"/>
      </w:r>
      <w:r>
        <w:t>2.4.2</w:t>
      </w:r>
      <w:r>
        <w:fldChar w:fldCharType="end"/>
      </w:r>
      <w:r>
        <w:t xml:space="preserve"> of chapter II </w:t>
      </w:r>
      <w:r w:rsidRPr="00A43A61">
        <w:t>[alternativ</w:t>
      </w:r>
      <w:r>
        <w:t>ely</w:t>
      </w:r>
      <w:r w:rsidRPr="00A43A61">
        <w:t>: “ha</w:t>
      </w:r>
      <w:r>
        <w:t>s</w:t>
      </w:r>
      <w:r w:rsidRPr="00A43A61">
        <w:t xml:space="preserve"> participat</w:t>
      </w:r>
      <w:r>
        <w:t>ed</w:t>
      </w:r>
      <w:r w:rsidRPr="00A43A61">
        <w:t xml:space="preserve"> </w:t>
      </w:r>
      <w:r>
        <w:t xml:space="preserve">to the </w:t>
      </w:r>
      <w:r w:rsidRPr="00AE0231">
        <w:t xml:space="preserve">auction procedure pursuant to article 2.4.2 b) of chapter </w:t>
      </w:r>
      <w:r w:rsidRPr="0041505C">
        <w:t xml:space="preserve">II”], and </w:t>
      </w:r>
      <w:r w:rsidRPr="00C6555E">
        <w:t>has provided</w:t>
      </w:r>
      <w:r w:rsidRPr="00AE0231">
        <w:t xml:space="preserve"> , </w:t>
      </w:r>
      <w:r w:rsidRPr="00AE0231">
        <w:rPr>
          <w:i/>
        </w:rPr>
        <w:t>inter</w:t>
      </w:r>
      <w:r w:rsidRPr="0041505C">
        <w:rPr>
          <w:i/>
        </w:rPr>
        <w:t xml:space="preserve"> alia</w:t>
      </w:r>
      <w:r w:rsidRPr="0041505C">
        <w:t xml:space="preserve">, the information and statements </w:t>
      </w:r>
      <w:r w:rsidRPr="00C6555E">
        <w:t>pursuant to</w:t>
      </w:r>
      <w:r w:rsidRPr="00AE0231">
        <w:t xml:space="preserve">  </w:t>
      </w:r>
      <w:r w:rsidRPr="0041505C">
        <w:t xml:space="preserve">article </w:t>
      </w:r>
      <w:r w:rsidRPr="00C6555E">
        <w:t>2.4.5 (a)</w:t>
      </w:r>
      <w:r w:rsidRPr="00AE0231">
        <w:t xml:space="preserve"> of chapter II of the </w:t>
      </w:r>
      <w:r w:rsidRPr="0041505C">
        <w:t>Regasification Code [</w:t>
      </w:r>
      <w:r w:rsidRPr="0041505C">
        <w:rPr>
          <w:i/>
        </w:rPr>
        <w:t>and stating</w:t>
      </w:r>
      <w:r w:rsidRPr="00987CD4">
        <w:rPr>
          <w:i/>
        </w:rPr>
        <w:t>, in particular</w:t>
      </w:r>
      <w:r w:rsidRPr="00306C13">
        <w:rPr>
          <w:i/>
        </w:rPr>
        <w:t xml:space="preserve">, that it met certain </w:t>
      </w:r>
      <w:r w:rsidRPr="00952D3E">
        <w:rPr>
          <w:i/>
        </w:rPr>
        <w:t>requirements to be granted priority in</w:t>
      </w:r>
      <w:r w:rsidRPr="00B97F8B">
        <w:rPr>
          <w:i/>
        </w:rPr>
        <w:t xml:space="preserve"> the allocation of the requested Available Capacity. Namely, the User stated that</w:t>
      </w:r>
      <w:r>
        <w:t xml:space="preserve"> (</w:t>
      </w:r>
      <w:r w:rsidRPr="00AD467C">
        <w:rPr>
          <w:i/>
        </w:rPr>
        <w:t xml:space="preserve">insert statement(s) made under letter </w:t>
      </w:r>
      <w:r>
        <w:rPr>
          <w:i/>
        </w:rPr>
        <w:t>g</w:t>
      </w:r>
      <w:r w:rsidRPr="00AD467C">
        <w:rPr>
          <w:i/>
        </w:rPr>
        <w:t>) of the Access Request for Available Capacity/Access Request for Capacity Make-up</w:t>
      </w:r>
      <w:r>
        <w:rPr>
          <w:i/>
        </w:rPr>
        <w:t>)</w:t>
      </w:r>
      <w:r w:rsidRPr="00564D90">
        <w:t>]</w:t>
      </w:r>
      <w:r>
        <w:rPr>
          <w:rStyle w:val="FootnoteReference"/>
        </w:rPr>
        <w:footnoteReference w:id="3"/>
      </w:r>
      <w:r>
        <w:t>.</w:t>
      </w:r>
    </w:p>
    <w:p w14:paraId="648719F7" w14:textId="77777777" w:rsidR="00ED40B5" w:rsidRDefault="00ED40B5" w:rsidP="00ED40B5">
      <w:pPr>
        <w:pStyle w:val="AODocTxt"/>
        <w:numPr>
          <w:ilvl w:val="0"/>
          <w:numId w:val="0"/>
        </w:numPr>
        <w:rPr>
          <w:b/>
        </w:rPr>
      </w:pPr>
      <w:r>
        <w:rPr>
          <w:b/>
          <w:caps/>
        </w:rPr>
        <w:t>Now, therefore</w:t>
      </w:r>
      <w:r>
        <w:rPr>
          <w:caps/>
        </w:rPr>
        <w:t>,</w:t>
      </w:r>
      <w:r>
        <w:t xml:space="preserve"> the User and the Operating Company agree to be legally bound as follows: </w:t>
      </w:r>
    </w:p>
    <w:p w14:paraId="2DFC0E38" w14:textId="77777777" w:rsidR="00ED40B5" w:rsidRDefault="00ED40B5" w:rsidP="00ED40B5">
      <w:pPr>
        <w:pStyle w:val="AOGenNum2"/>
        <w:numPr>
          <w:ilvl w:val="0"/>
          <w:numId w:val="3"/>
        </w:numPr>
      </w:pPr>
      <w:r>
        <w:t>Recitals and Definitions</w:t>
      </w:r>
    </w:p>
    <w:p w14:paraId="39BA4CFE" w14:textId="77777777" w:rsidR="00ED40B5" w:rsidRDefault="00ED40B5" w:rsidP="00ED40B5">
      <w:pPr>
        <w:pStyle w:val="AODocTxtL1"/>
        <w:numPr>
          <w:ilvl w:val="0"/>
          <w:numId w:val="0"/>
        </w:numPr>
        <w:ind w:left="705" w:hanging="705"/>
      </w:pPr>
      <w:r>
        <w:t>1.1</w:t>
      </w:r>
      <w:r>
        <w:tab/>
        <w:t>The recitals are hereby incorporated and form an integral and essential part of this agreement.</w:t>
      </w:r>
    </w:p>
    <w:p w14:paraId="3B286D29" w14:textId="77777777" w:rsidR="00ED40B5" w:rsidRDefault="00ED40B5" w:rsidP="00ED40B5">
      <w:pPr>
        <w:pStyle w:val="AOGenNum2Para"/>
        <w:numPr>
          <w:ilvl w:val="1"/>
          <w:numId w:val="4"/>
        </w:numPr>
      </w:pPr>
      <w:r>
        <w:t xml:space="preserve">All the capitalized terms used in the Capacity Agreement shall have the same meaning given in clause </w:t>
      </w:r>
      <w:r>
        <w:fldChar w:fldCharType="begin"/>
      </w:r>
      <w:r>
        <w:instrText xml:space="preserve"> REF _Ref478211766 \n \h </w:instrText>
      </w:r>
      <w:r>
        <w:fldChar w:fldCharType="separate"/>
      </w:r>
      <w:r>
        <w:t>I.1.1</w:t>
      </w:r>
      <w:r>
        <w:fldChar w:fldCharType="end"/>
      </w:r>
      <w:r>
        <w:t xml:space="preserve"> of chapter I of the Regasification Code.</w:t>
      </w:r>
    </w:p>
    <w:p w14:paraId="18F0A346" w14:textId="77777777" w:rsidR="00ED40B5" w:rsidRDefault="00ED40B5" w:rsidP="00ED40B5">
      <w:pPr>
        <w:pStyle w:val="AOGenNum2"/>
      </w:pPr>
      <w:r>
        <w:lastRenderedPageBreak/>
        <w:t>Scope and duration</w:t>
      </w:r>
    </w:p>
    <w:p w14:paraId="62B4850D" w14:textId="77777777" w:rsidR="00ED40B5" w:rsidRPr="004A4D0D" w:rsidRDefault="00ED40B5" w:rsidP="00ED40B5">
      <w:pPr>
        <w:pStyle w:val="AOGenNum2Para"/>
        <w:rPr>
          <w:lang w:val="it-IT"/>
        </w:rPr>
      </w:pPr>
      <w:r>
        <w:t xml:space="preserve">The Operating Company allocates to the User, and the User subscribes for the </w:t>
      </w:r>
      <w:proofErr w:type="gramStart"/>
      <w:r w:rsidRPr="00591A88">
        <w:t>Non-Foundation</w:t>
      </w:r>
      <w:proofErr w:type="gramEnd"/>
      <w:r w:rsidRPr="00591A88" w:rsidDel="00591A88">
        <w:rPr>
          <w:rStyle w:val="FootnoteReference"/>
        </w:rPr>
        <w:t xml:space="preserve"> </w:t>
      </w:r>
      <w:r w:rsidRPr="00591A88">
        <w:t>Capacity</w:t>
      </w:r>
      <w:r>
        <w:t xml:space="preserve"> for the quantities as follows. </w:t>
      </w:r>
      <w:r w:rsidRPr="004A4D0D">
        <w:rPr>
          <w:lang w:val="it-IT"/>
        </w:rPr>
        <w:t>(</w:t>
      </w:r>
      <w:r w:rsidRPr="004A4D0D">
        <w:rPr>
          <w:i/>
          <w:lang w:val="it-IT"/>
        </w:rPr>
        <w:t>Il Gestore conferisce all’Utilizzatore, e l’Utilizzatore sottoscrive, la Capacità</w:t>
      </w:r>
      <w:r>
        <w:rPr>
          <w:i/>
          <w:lang w:val="it-IT"/>
        </w:rPr>
        <w:t xml:space="preserve"> R</w:t>
      </w:r>
      <w:r w:rsidRPr="004A4D0D">
        <w:rPr>
          <w:i/>
          <w:lang w:val="it-IT"/>
        </w:rPr>
        <w:t xml:space="preserve">egolata </w:t>
      </w:r>
      <w:r>
        <w:rPr>
          <w:i/>
          <w:lang w:val="it-IT"/>
        </w:rPr>
        <w:t>per le quantità di seguito indicate</w:t>
      </w:r>
      <w:r w:rsidRPr="004A4D0D">
        <w:rPr>
          <w:lang w:val="it-IT"/>
        </w:rPr>
        <w:t>)</w:t>
      </w:r>
    </w:p>
    <w:p w14:paraId="42612EA5" w14:textId="77777777" w:rsidR="00ED40B5" w:rsidRPr="004A4D0D" w:rsidRDefault="00ED40B5" w:rsidP="00ED40B5">
      <w:pPr>
        <w:pStyle w:val="AOGenNum2List"/>
        <w:numPr>
          <w:ilvl w:val="0"/>
          <w:numId w:val="0"/>
        </w:numPr>
        <w:rPr>
          <w:lang w:val="it-IT"/>
        </w:rPr>
      </w:pPr>
    </w:p>
    <w:tbl>
      <w:tblPr>
        <w:tblW w:w="0" w:type="auto"/>
        <w:tblInd w:w="720" w:type="dxa"/>
        <w:tblLayout w:type="fixed"/>
        <w:tblLook w:val="01E0" w:firstRow="1" w:lastRow="1" w:firstColumn="1" w:lastColumn="1" w:noHBand="0" w:noVBand="0"/>
      </w:tblPr>
      <w:tblGrid>
        <w:gridCol w:w="1695"/>
        <w:gridCol w:w="1696"/>
        <w:gridCol w:w="1695"/>
        <w:gridCol w:w="1696"/>
        <w:gridCol w:w="1696"/>
      </w:tblGrid>
      <w:tr w:rsidR="00ED40B5" w14:paraId="499F0E86" w14:textId="77777777" w:rsidTr="00694D81">
        <w:tc>
          <w:tcPr>
            <w:tcW w:w="1695" w:type="dxa"/>
          </w:tcPr>
          <w:p w14:paraId="25475180" w14:textId="77777777" w:rsidR="00ED40B5" w:rsidRDefault="00ED40B5" w:rsidP="00694D81">
            <w:pPr>
              <w:pStyle w:val="AODocTxt"/>
              <w:numPr>
                <w:ilvl w:val="0"/>
                <w:numId w:val="0"/>
              </w:numPr>
              <w:jc w:val="center"/>
              <w:rPr>
                <w:sz w:val="18"/>
              </w:rPr>
            </w:pPr>
            <w:r>
              <w:rPr>
                <w:b/>
                <w:sz w:val="18"/>
              </w:rPr>
              <w:t>Volume of LNG (m</w:t>
            </w:r>
            <w:r>
              <w:rPr>
                <w:b/>
                <w:sz w:val="18"/>
                <w:vertAlign w:val="superscript"/>
              </w:rPr>
              <w:t>3</w:t>
            </w:r>
            <w:r>
              <w:rPr>
                <w:b/>
                <w:sz w:val="18"/>
              </w:rPr>
              <w:t xml:space="preserve">/Unloading Slot) </w:t>
            </w:r>
          </w:p>
        </w:tc>
        <w:tc>
          <w:tcPr>
            <w:tcW w:w="1696" w:type="dxa"/>
          </w:tcPr>
          <w:p w14:paraId="3C0E6202" w14:textId="77777777" w:rsidR="00ED40B5" w:rsidRDefault="00ED40B5" w:rsidP="00694D81">
            <w:pPr>
              <w:pStyle w:val="AODocTxt"/>
              <w:numPr>
                <w:ilvl w:val="0"/>
                <w:numId w:val="0"/>
              </w:numPr>
              <w:jc w:val="center"/>
              <w:rPr>
                <w:sz w:val="18"/>
              </w:rPr>
            </w:pPr>
            <w:r>
              <w:rPr>
                <w:b/>
                <w:sz w:val="18"/>
              </w:rPr>
              <w:t>Year and Month</w:t>
            </w:r>
          </w:p>
        </w:tc>
        <w:tc>
          <w:tcPr>
            <w:tcW w:w="1695" w:type="dxa"/>
          </w:tcPr>
          <w:p w14:paraId="0ED2BDA6" w14:textId="77777777" w:rsidR="00ED40B5" w:rsidRDefault="00ED40B5" w:rsidP="00694D81">
            <w:pPr>
              <w:pStyle w:val="AODocTxt"/>
              <w:numPr>
                <w:ilvl w:val="0"/>
                <w:numId w:val="0"/>
              </w:numPr>
              <w:jc w:val="center"/>
              <w:rPr>
                <w:sz w:val="18"/>
              </w:rPr>
            </w:pPr>
            <w:r>
              <w:rPr>
                <w:b/>
                <w:sz w:val="18"/>
              </w:rPr>
              <w:t>Number of Unloading Slots (for each Month)</w:t>
            </w:r>
          </w:p>
        </w:tc>
        <w:tc>
          <w:tcPr>
            <w:tcW w:w="1696" w:type="dxa"/>
          </w:tcPr>
          <w:p w14:paraId="45C23164" w14:textId="77777777" w:rsidR="00ED40B5" w:rsidRDefault="00ED40B5" w:rsidP="00694D81">
            <w:pPr>
              <w:pStyle w:val="AODocTxt"/>
              <w:numPr>
                <w:ilvl w:val="0"/>
                <w:numId w:val="0"/>
              </w:numPr>
              <w:jc w:val="center"/>
              <w:rPr>
                <w:sz w:val="18"/>
              </w:rPr>
            </w:pPr>
            <w:r>
              <w:rPr>
                <w:b/>
                <w:sz w:val="18"/>
              </w:rPr>
              <w:t>Timing (if applicable) of each Unloading Slot</w:t>
            </w:r>
          </w:p>
        </w:tc>
        <w:tc>
          <w:tcPr>
            <w:tcW w:w="1696" w:type="dxa"/>
          </w:tcPr>
          <w:p w14:paraId="45EDA9FC" w14:textId="77777777" w:rsidR="00ED40B5" w:rsidRDefault="00ED40B5" w:rsidP="00694D81">
            <w:pPr>
              <w:pStyle w:val="AODocTxt"/>
              <w:numPr>
                <w:ilvl w:val="0"/>
                <w:numId w:val="0"/>
              </w:numPr>
              <w:jc w:val="center"/>
              <w:rPr>
                <w:sz w:val="18"/>
              </w:rPr>
            </w:pPr>
            <w:r w:rsidRPr="00454C82">
              <w:rPr>
                <w:b/>
                <w:sz w:val="18"/>
              </w:rPr>
              <w:t>Non-Foundation</w:t>
            </w:r>
            <w:r>
              <w:rPr>
                <w:b/>
                <w:sz w:val="18"/>
              </w:rPr>
              <w:t xml:space="preserve"> Capacity Subscribed (indicative energy value in </w:t>
            </w:r>
            <w:r w:rsidRPr="00CF03E9">
              <w:rPr>
                <w:b/>
                <w:sz w:val="18"/>
              </w:rPr>
              <w:t>TJ)</w:t>
            </w:r>
          </w:p>
        </w:tc>
      </w:tr>
      <w:tr w:rsidR="00ED40B5" w14:paraId="16279D24" w14:textId="77777777" w:rsidTr="00694D81">
        <w:tc>
          <w:tcPr>
            <w:tcW w:w="1695" w:type="dxa"/>
          </w:tcPr>
          <w:p w14:paraId="75FD0CAF" w14:textId="77777777" w:rsidR="00ED40B5" w:rsidRDefault="00ED40B5" w:rsidP="00694D81">
            <w:pPr>
              <w:pStyle w:val="AODocTxt"/>
              <w:numPr>
                <w:ilvl w:val="0"/>
                <w:numId w:val="0"/>
              </w:numPr>
            </w:pPr>
          </w:p>
        </w:tc>
        <w:tc>
          <w:tcPr>
            <w:tcW w:w="1696" w:type="dxa"/>
          </w:tcPr>
          <w:p w14:paraId="07DC85E5" w14:textId="77777777" w:rsidR="00ED40B5" w:rsidRDefault="00ED40B5" w:rsidP="00694D81">
            <w:pPr>
              <w:pStyle w:val="AODocTxt"/>
              <w:numPr>
                <w:ilvl w:val="0"/>
                <w:numId w:val="0"/>
              </w:numPr>
            </w:pPr>
          </w:p>
        </w:tc>
        <w:tc>
          <w:tcPr>
            <w:tcW w:w="1695" w:type="dxa"/>
          </w:tcPr>
          <w:p w14:paraId="32096075" w14:textId="77777777" w:rsidR="00ED40B5" w:rsidRDefault="00ED40B5" w:rsidP="00694D81">
            <w:pPr>
              <w:pStyle w:val="AODocTxt"/>
              <w:numPr>
                <w:ilvl w:val="0"/>
                <w:numId w:val="0"/>
              </w:numPr>
            </w:pPr>
          </w:p>
        </w:tc>
        <w:tc>
          <w:tcPr>
            <w:tcW w:w="1696" w:type="dxa"/>
          </w:tcPr>
          <w:p w14:paraId="2CC6402C" w14:textId="77777777" w:rsidR="00ED40B5" w:rsidRDefault="00ED40B5" w:rsidP="00694D81">
            <w:pPr>
              <w:pStyle w:val="AODocTxt"/>
              <w:numPr>
                <w:ilvl w:val="0"/>
                <w:numId w:val="0"/>
              </w:numPr>
            </w:pPr>
          </w:p>
        </w:tc>
        <w:tc>
          <w:tcPr>
            <w:tcW w:w="1696" w:type="dxa"/>
          </w:tcPr>
          <w:p w14:paraId="4C989F64" w14:textId="77777777" w:rsidR="00ED40B5" w:rsidRDefault="00ED40B5" w:rsidP="00694D81">
            <w:pPr>
              <w:pStyle w:val="AODocTxt"/>
              <w:numPr>
                <w:ilvl w:val="0"/>
                <w:numId w:val="0"/>
              </w:numPr>
            </w:pPr>
          </w:p>
        </w:tc>
      </w:tr>
    </w:tbl>
    <w:p w14:paraId="08C43171" w14:textId="1CC3DE4B" w:rsidR="00ED40B5" w:rsidRPr="00C6555E" w:rsidRDefault="00ED40B5" w:rsidP="00ED40B5">
      <w:pPr>
        <w:pStyle w:val="AOGenNum2Para"/>
      </w:pPr>
      <w:r w:rsidRPr="00C6555E">
        <w:rPr>
          <w:lang w:val="en-US"/>
        </w:rPr>
        <w:t>[</w:t>
      </w:r>
      <w:r w:rsidRPr="00C6555E">
        <w:t>Subject to the conditions set out in the Regasification Code</w:t>
      </w:r>
      <w:r w:rsidR="00A9525A">
        <w:t xml:space="preserve">, </w:t>
      </w:r>
      <w:r w:rsidRPr="00C6555E">
        <w:t xml:space="preserve">the Applicable Regulations, </w:t>
      </w:r>
      <w:r w:rsidR="00A9525A">
        <w:t xml:space="preserve">and article 9, </w:t>
      </w:r>
      <w:r w:rsidRPr="00C6555E">
        <w:t>the Slots relating to the Incremental Capacity will be made available as follows:</w:t>
      </w:r>
    </w:p>
    <w:p w14:paraId="69A97AD7" w14:textId="77777777" w:rsidR="00ED40B5" w:rsidRPr="00C6555E" w:rsidRDefault="00ED40B5" w:rsidP="00ED40B5">
      <w:pPr>
        <w:pStyle w:val="AOGenNum2List"/>
        <w:numPr>
          <w:ilvl w:val="3"/>
          <w:numId w:val="2"/>
        </w:numPr>
        <w:spacing w:after="200"/>
      </w:pPr>
      <w:r w:rsidRPr="00C6555E">
        <w:t xml:space="preserve">Within 3 (three) Months from the signature of the Capacity Contract the Operating Company notifies to the User a time frame of 6 (six) Months within the following 3 (three) years in which the User </w:t>
      </w:r>
      <w:proofErr w:type="gramStart"/>
      <w:r w:rsidRPr="00C6555E">
        <w:t>has to</w:t>
      </w:r>
      <w:proofErr w:type="gramEnd"/>
      <w:r w:rsidRPr="00C6555E">
        <w:t xml:space="preserve"> define the first Month for the first Unloading within one Month from the notification (“First Unloading”) </w:t>
      </w:r>
    </w:p>
    <w:p w14:paraId="25DA6C30" w14:textId="77777777" w:rsidR="00ED40B5" w:rsidRPr="00C6555E" w:rsidRDefault="00ED40B5" w:rsidP="00ED40B5">
      <w:pPr>
        <w:pStyle w:val="AOGenNum2List"/>
        <w:numPr>
          <w:ilvl w:val="3"/>
          <w:numId w:val="2"/>
        </w:numPr>
        <w:spacing w:after="200"/>
      </w:pPr>
      <w:r w:rsidRPr="00C6555E">
        <w:t>If the conditions set out in the Regasification Code and the Applicable Regulations are not met 2 (two) Months before the First Unloading for the provision of the Incremental Capacity, the Operating Company will notify the User of a new time frame of 6 (six) Months within the following year in which the User must define the first Month for the first Unloading</w:t>
      </w:r>
    </w:p>
    <w:p w14:paraId="47753E5C" w14:textId="77777777" w:rsidR="00ED40B5" w:rsidRPr="00C6555E" w:rsidRDefault="00ED40B5" w:rsidP="00ED40B5">
      <w:pPr>
        <w:pStyle w:val="AOGenNum2List"/>
        <w:numPr>
          <w:ilvl w:val="3"/>
          <w:numId w:val="2"/>
        </w:numPr>
        <w:spacing w:after="200"/>
      </w:pPr>
      <w:r w:rsidRPr="00C6555E">
        <w:t xml:space="preserve">In the event that the User does not notify his preference for the First Unloading within the deadline, the last Month of the notified time frame will be considered as the Month for the First </w:t>
      </w:r>
      <w:proofErr w:type="gramStart"/>
      <w:r w:rsidRPr="00C6555E">
        <w:t>Unloading ]</w:t>
      </w:r>
      <w:proofErr w:type="gramEnd"/>
      <w:r w:rsidRPr="00C6555E">
        <w:rPr>
          <w:vertAlign w:val="superscript"/>
        </w:rPr>
        <w:footnoteReference w:id="4"/>
      </w:r>
    </w:p>
    <w:p w14:paraId="77E62FDA" w14:textId="77777777" w:rsidR="00ED40B5" w:rsidRPr="00C6555E" w:rsidRDefault="00ED40B5" w:rsidP="00ED40B5">
      <w:pPr>
        <w:pStyle w:val="AOGenNum2List"/>
        <w:numPr>
          <w:ilvl w:val="3"/>
          <w:numId w:val="2"/>
        </w:numPr>
        <w:spacing w:after="200"/>
        <w:rPr>
          <w:lang w:val="en-US"/>
        </w:rPr>
      </w:pPr>
      <w:proofErr w:type="gramStart"/>
      <w:r w:rsidRPr="00C6555E">
        <w:rPr>
          <w:lang w:val="en-US"/>
        </w:rPr>
        <w:t>In the event that</w:t>
      </w:r>
      <w:proofErr w:type="gramEnd"/>
      <w:r w:rsidRPr="00C6555E">
        <w:rPr>
          <w:lang w:val="en-US"/>
        </w:rPr>
        <w:t xml:space="preserve"> the Incremental Capacity is not available at the term referred to in point b) the User will not have to pay the fee relating to the Incremental Capacity. It is understood that the Operating Company will not incur any liability in the event of delay or non-availability of the Incremental Capacity.</w:t>
      </w:r>
    </w:p>
    <w:p w14:paraId="54C6B5A1" w14:textId="77777777" w:rsidR="00ED40B5" w:rsidRPr="003D7F4B" w:rsidRDefault="00ED40B5" w:rsidP="00ED40B5">
      <w:pPr>
        <w:pStyle w:val="AOGenNum2Para"/>
      </w:pPr>
      <w:r w:rsidRPr="003D7F4B">
        <w:t>The Capacity Agreement shall expire on [insert date corresponding to the ninetieth (90th) Day after the date of the last Unloading requested].  Expiration of this Capacity Agreement shall be without prejudice to any obligations and/or liabilities which have accrued prior to the expiration date.)</w:t>
      </w:r>
    </w:p>
    <w:p w14:paraId="6632D001" w14:textId="77777777" w:rsidR="00ED40B5" w:rsidRPr="005D156C" w:rsidRDefault="00ED40B5" w:rsidP="00ED40B5">
      <w:pPr>
        <w:pStyle w:val="AOGenNum2"/>
      </w:pPr>
      <w:r w:rsidRPr="005D156C">
        <w:t>Charges</w:t>
      </w:r>
    </w:p>
    <w:p w14:paraId="4662B37E" w14:textId="77777777" w:rsidR="00ED40B5" w:rsidRDefault="00ED40B5" w:rsidP="00ED40B5">
      <w:pPr>
        <w:pStyle w:val="AOGenNum2Para"/>
      </w:pPr>
      <w:r>
        <w:t xml:space="preserve">The Capacity Charge </w:t>
      </w:r>
      <w:r w:rsidRPr="00E97D9B">
        <w:t xml:space="preserve">due by the User pursuant to the Capacity Agreement shall be determined in accordance with the relevant provisions of the Regasification Code </w:t>
      </w:r>
      <w:r w:rsidRPr="00C6555E">
        <w:rPr>
          <w:u w:val="single"/>
        </w:rPr>
        <w:t>is defined</w:t>
      </w:r>
      <w:r w:rsidRPr="00E97D9B">
        <w:t xml:space="preserve"> as set forth in </w:t>
      </w:r>
      <w:r w:rsidRPr="00C6555E">
        <w:t>Annex (1)</w:t>
      </w:r>
      <w:r w:rsidRPr="00E97D9B">
        <w:t xml:space="preserve"> </w:t>
      </w:r>
      <w:r w:rsidRPr="00C6555E">
        <w:t>of the Capacity Contract</w:t>
      </w:r>
      <w:r w:rsidRPr="00E97D9B">
        <w:t xml:space="preserve"> hereto.</w:t>
      </w:r>
    </w:p>
    <w:p w14:paraId="538CCFA6" w14:textId="77777777" w:rsidR="00ED40B5" w:rsidRPr="0083401F" w:rsidRDefault="00ED40B5" w:rsidP="00ED40B5">
      <w:pPr>
        <w:pStyle w:val="AOGenNum2List"/>
        <w:numPr>
          <w:ilvl w:val="0"/>
          <w:numId w:val="0"/>
        </w:numPr>
        <w:ind w:left="720"/>
        <w:rPr>
          <w:lang w:val="en-US"/>
        </w:rPr>
      </w:pPr>
    </w:p>
    <w:p w14:paraId="5C06FC34" w14:textId="77777777" w:rsidR="00ED40B5" w:rsidRPr="0083401F" w:rsidRDefault="00ED40B5" w:rsidP="00ED40B5">
      <w:pPr>
        <w:pStyle w:val="AOGenNum2Para"/>
        <w:rPr>
          <w:lang w:val="en-US"/>
        </w:rPr>
      </w:pPr>
      <w:r>
        <w:t>The Grid Capacity Charge due by the User pursuant to the Capacity Agreement shall be determined in accordance with letter</w:t>
      </w:r>
      <w:r>
        <w:rPr>
          <w:strike/>
        </w:rPr>
        <w:t xml:space="preserve"> </w:t>
      </w:r>
      <w:r>
        <w:t xml:space="preserve">(e), respectively, of clause </w:t>
      </w:r>
      <w:r>
        <w:fldChar w:fldCharType="begin"/>
      </w:r>
      <w:r>
        <w:instrText xml:space="preserve"> REF _Ref477008695 \n \h </w:instrText>
      </w:r>
      <w:r>
        <w:fldChar w:fldCharType="separate"/>
      </w:r>
      <w:r>
        <w:t>8.1.1</w:t>
      </w:r>
      <w:r>
        <w:fldChar w:fldCharType="end"/>
      </w:r>
      <w:r>
        <w:t xml:space="preserve"> of chapter III of the Regasification Code. </w:t>
      </w:r>
    </w:p>
    <w:p w14:paraId="13063C1F" w14:textId="77777777" w:rsidR="00ED40B5" w:rsidRDefault="00ED40B5" w:rsidP="00ED40B5">
      <w:pPr>
        <w:pStyle w:val="AOGenNum2Para"/>
      </w:pPr>
      <w:r w:rsidRPr="0077496A">
        <w:t>The</w:t>
      </w:r>
      <w:r w:rsidRPr="005D156C">
        <w:t xml:space="preserve"> Additional Charges</w:t>
      </w:r>
      <w:r>
        <w:t xml:space="preserve"> and any other payments due by the User pursuant to the Capacity Agreement shall be determined in accordance with the relevant provisions of the Regasification Code.</w:t>
      </w:r>
    </w:p>
    <w:p w14:paraId="713D33F2" w14:textId="77777777" w:rsidR="00ED40B5" w:rsidRDefault="00ED40B5" w:rsidP="00ED40B5">
      <w:pPr>
        <w:pStyle w:val="AOGenNum2Para"/>
      </w:pPr>
      <w:r w:rsidRPr="00D83E21">
        <w:t xml:space="preserve">[The Capacity </w:t>
      </w:r>
      <w:r>
        <w:t>Charge</w:t>
      </w:r>
      <w:r w:rsidRPr="00D83E21">
        <w:t xml:space="preserve"> relating to the Incremental Capacity is due </w:t>
      </w:r>
      <w:r>
        <w:t xml:space="preserve">as from the date such Incremental Capacity is made </w:t>
      </w:r>
      <w:r w:rsidRPr="00D83E21">
        <w:t>available]</w:t>
      </w:r>
    </w:p>
    <w:p w14:paraId="53FEBE14" w14:textId="77777777" w:rsidR="00ED40B5" w:rsidRDefault="00ED40B5" w:rsidP="00ED40B5">
      <w:pPr>
        <w:pStyle w:val="AOGenNum2Para"/>
      </w:pPr>
      <w:r>
        <w:t>[The Operating Company shall apply the User’s Capacity Make-Up Balance under the capacity agreement dated [</w:t>
      </w:r>
      <w:r>
        <w:rPr>
          <w:i/>
        </w:rPr>
        <w:t>date of relevant capacity agreement</w:t>
      </w:r>
      <w:r>
        <w:t xml:space="preserve">] for the payment of all or part of the Capacity Charge due pursuant to the Capacity Agreement, in accordance with </w:t>
      </w:r>
      <w:r w:rsidRPr="00042B8A">
        <w:t>clause</w:t>
      </w:r>
      <w:r>
        <w:t xml:space="preserve"> </w:t>
      </w:r>
      <w:r>
        <w:fldChar w:fldCharType="begin"/>
      </w:r>
      <w:r>
        <w:instrText xml:space="preserve"> REF _Ref477008911 \n \h </w:instrText>
      </w:r>
      <w:r>
        <w:fldChar w:fldCharType="separate"/>
      </w:r>
      <w:r>
        <w:t>8.10.2</w:t>
      </w:r>
      <w:r>
        <w:fldChar w:fldCharType="end"/>
      </w:r>
      <w:r>
        <w:t xml:space="preserve"> of chapter III of the Regasification Code.]</w:t>
      </w:r>
      <w:r>
        <w:rPr>
          <w:rStyle w:val="FootnoteReference"/>
        </w:rPr>
        <w:footnoteReference w:id="5"/>
      </w:r>
    </w:p>
    <w:p w14:paraId="6ECEE625" w14:textId="77777777" w:rsidR="00ED40B5" w:rsidRDefault="00ED40B5" w:rsidP="00ED40B5">
      <w:pPr>
        <w:pStyle w:val="AOGenNum2"/>
      </w:pPr>
      <w:r>
        <w:t>Service Conditions</w:t>
      </w:r>
    </w:p>
    <w:p w14:paraId="12601454" w14:textId="77777777" w:rsidR="00ED40B5" w:rsidRDefault="00ED40B5" w:rsidP="00ED40B5">
      <w:pPr>
        <w:pStyle w:val="AOGenNum2Para"/>
      </w:pPr>
      <w:bookmarkStart w:id="0" w:name="_Ref478210519"/>
      <w:r>
        <w:t>[</w:t>
      </w:r>
      <w:r>
        <w:rPr>
          <w:bCs/>
          <w:i/>
        </w:rPr>
        <w:t>User</w:t>
      </w:r>
      <w:r>
        <w:t xml:space="preserve">] states that it satisfies and will satisfy and maintain </w:t>
      </w:r>
      <w:proofErr w:type="gramStart"/>
      <w:r>
        <w:t>all of</w:t>
      </w:r>
      <w:proofErr w:type="gramEnd"/>
      <w:r>
        <w:t xml:space="preserve"> the Service Conditions provided in </w:t>
      </w:r>
      <w:r w:rsidRPr="00042B8A">
        <w:t>clause</w:t>
      </w:r>
      <w:r>
        <w:t xml:space="preserve"> </w:t>
      </w:r>
      <w:r>
        <w:fldChar w:fldCharType="begin"/>
      </w:r>
      <w:r>
        <w:instrText xml:space="preserve"> REF _Ref478211833 \n \h </w:instrText>
      </w:r>
      <w:r>
        <w:fldChar w:fldCharType="separate"/>
      </w:r>
      <w:r>
        <w:t>III.2.3</w:t>
      </w:r>
      <w:r>
        <w:fldChar w:fldCharType="end"/>
      </w:r>
      <w:r>
        <w:t xml:space="preserve"> of chapter III of the Regasification Code throughout the term of the Capacity Agreement.</w:t>
      </w:r>
      <w:bookmarkEnd w:id="0"/>
    </w:p>
    <w:p w14:paraId="0AF889CD" w14:textId="77777777" w:rsidR="00ED40B5" w:rsidRDefault="00ED40B5" w:rsidP="00ED40B5">
      <w:pPr>
        <w:pStyle w:val="AOGenNum2Para"/>
      </w:pPr>
      <w:bookmarkStart w:id="1" w:name="_Ref478210545"/>
      <w:r>
        <w:t xml:space="preserve">With particular reference to the Service Condition provided under letter (j) of clause </w:t>
      </w:r>
      <w:r>
        <w:fldChar w:fldCharType="begin"/>
      </w:r>
      <w:r>
        <w:instrText xml:space="preserve"> REF _Ref478211842 \n \h </w:instrText>
      </w:r>
      <w:r>
        <w:fldChar w:fldCharType="separate"/>
      </w:r>
      <w:r>
        <w:t>III.2.3</w:t>
      </w:r>
      <w:r>
        <w:fldChar w:fldCharType="end"/>
      </w:r>
      <w:r>
        <w:t xml:space="preserve"> of chapter III, [</w:t>
      </w:r>
      <w:r>
        <w:rPr>
          <w:i/>
        </w:rPr>
        <w:t>User</w:t>
      </w:r>
      <w:r>
        <w:t>] acknowledges that the provision to the Operating Company of a duly executed authorisation to make requests for transactions at the System which imply the automatic acceptance of the User is essential in order for the Operating Company to be able to Redeliver the Gas. Therefore, [</w:t>
      </w:r>
      <w:r>
        <w:rPr>
          <w:i/>
        </w:rPr>
        <w:t>User</w:t>
      </w:r>
      <w:r>
        <w:t xml:space="preserve">] undertakes to provide the Operating Company with a duly executed copy of such authorization, as well as of any other documentation required by </w:t>
      </w:r>
      <w:proofErr w:type="spellStart"/>
      <w:r>
        <w:t>Snam</w:t>
      </w:r>
      <w:proofErr w:type="spellEnd"/>
      <w:r>
        <w:t xml:space="preserve"> Rete Gas in this respect, within two (2) Days from the execution of this agreement or, should such date fall later than the </w:t>
      </w:r>
      <w:r w:rsidRPr="00C91426">
        <w:t>fifth (5</w:t>
      </w:r>
      <w:r w:rsidRPr="00C91426">
        <w:rPr>
          <w:vertAlign w:val="superscript"/>
        </w:rPr>
        <w:t>th</w:t>
      </w:r>
      <w:r w:rsidRPr="00C91426">
        <w:t>) Business Day</w:t>
      </w:r>
      <w:r>
        <w:t xml:space="preserve"> preceding the date when the first Unloading is requested, immediately after the execution of this agreement.</w:t>
      </w:r>
      <w:bookmarkEnd w:id="1"/>
    </w:p>
    <w:p w14:paraId="7BCB222F" w14:textId="77777777" w:rsidR="00ED40B5" w:rsidRDefault="00ED40B5" w:rsidP="00ED40B5">
      <w:pPr>
        <w:pStyle w:val="AOGenNum2Para"/>
      </w:pPr>
      <w:r>
        <w:t xml:space="preserve"> [</w:t>
      </w:r>
      <w:r>
        <w:rPr>
          <w:bCs/>
          <w:i/>
        </w:rPr>
        <w:t>User</w:t>
      </w:r>
      <w:r>
        <w:t xml:space="preserve">] hereby represents and warrants to the Operating Company that the Representations set forth in </w:t>
      </w:r>
      <w:r w:rsidRPr="00042B8A">
        <w:t>clause</w:t>
      </w:r>
      <w:r>
        <w:t xml:space="preserve">s </w:t>
      </w:r>
      <w:r>
        <w:fldChar w:fldCharType="begin"/>
      </w:r>
      <w:r>
        <w:instrText xml:space="preserve"> REF _Ref477010351 \n \h </w:instrText>
      </w:r>
      <w:r>
        <w:fldChar w:fldCharType="separate"/>
      </w:r>
      <w:r>
        <w:t>2.4.1</w:t>
      </w:r>
      <w:r>
        <w:fldChar w:fldCharType="end"/>
      </w:r>
      <w:r>
        <w:t xml:space="preserve"> (a) through </w:t>
      </w:r>
      <w:r>
        <w:fldChar w:fldCharType="begin"/>
      </w:r>
      <w:r>
        <w:instrText xml:space="preserve"> REF _Ref477010351 \n \h </w:instrText>
      </w:r>
      <w:r>
        <w:fldChar w:fldCharType="separate"/>
      </w:r>
      <w:r>
        <w:t>2.4.1</w:t>
      </w:r>
      <w:r>
        <w:fldChar w:fldCharType="end"/>
      </w:r>
      <w:r>
        <w:t xml:space="preserve"> (d) of chapter III of the Regasification Code are true and accurate as of the date on which the Capacity Agreement is entered into. In respect of the Representations set forth in </w:t>
      </w:r>
      <w:r w:rsidRPr="00042B8A">
        <w:t>clause</w:t>
      </w:r>
      <w:r>
        <w:t xml:space="preserve">s </w:t>
      </w:r>
      <w:r>
        <w:fldChar w:fldCharType="begin"/>
      </w:r>
      <w:r>
        <w:instrText xml:space="preserve"> REF _Ref477010351 \n \h </w:instrText>
      </w:r>
      <w:r>
        <w:fldChar w:fldCharType="separate"/>
      </w:r>
      <w:r>
        <w:t>2.4.1</w:t>
      </w:r>
      <w:r>
        <w:fldChar w:fldCharType="end"/>
      </w:r>
      <w:r>
        <w:t xml:space="preserve"> (a) and </w:t>
      </w:r>
      <w:r>
        <w:fldChar w:fldCharType="begin"/>
      </w:r>
      <w:r>
        <w:instrText xml:space="preserve"> REF _Ref477010351 \n \h </w:instrText>
      </w:r>
      <w:r>
        <w:fldChar w:fldCharType="separate"/>
      </w:r>
      <w:r>
        <w:t>2.4.1</w:t>
      </w:r>
      <w:r>
        <w:fldChar w:fldCharType="end"/>
      </w:r>
      <w:r>
        <w:t xml:space="preserve"> (b) of chapter III of the Regasification Code, [</w:t>
      </w:r>
      <w:r>
        <w:rPr>
          <w:i/>
        </w:rPr>
        <w:t>User</w:t>
      </w:r>
      <w:r>
        <w:t xml:space="preserve">] undertakes that they will remain true and accurate as provided for in </w:t>
      </w:r>
      <w:r w:rsidRPr="00042B8A">
        <w:t>clause</w:t>
      </w:r>
      <w:r>
        <w:t xml:space="preserve">s </w:t>
      </w:r>
      <w:r>
        <w:fldChar w:fldCharType="begin"/>
      </w:r>
      <w:r>
        <w:instrText xml:space="preserve"> REF _Ref477004247 \n \h </w:instrText>
      </w:r>
      <w:r>
        <w:fldChar w:fldCharType="separate"/>
      </w:r>
      <w:r>
        <w:t>2.4.2</w:t>
      </w:r>
      <w:r>
        <w:fldChar w:fldCharType="end"/>
      </w:r>
      <w:r>
        <w:t xml:space="preserve"> and </w:t>
      </w:r>
      <w:r>
        <w:fldChar w:fldCharType="begin"/>
      </w:r>
      <w:r>
        <w:instrText xml:space="preserve"> REF _Ref477789140 \n \h </w:instrText>
      </w:r>
      <w:r>
        <w:fldChar w:fldCharType="separate"/>
      </w:r>
      <w:r>
        <w:t>2.4.3</w:t>
      </w:r>
      <w:r>
        <w:fldChar w:fldCharType="end"/>
      </w:r>
      <w:r>
        <w:t xml:space="preserve"> of chapter III of the Regasification Code.</w:t>
      </w:r>
    </w:p>
    <w:p w14:paraId="3AEB656D" w14:textId="77777777" w:rsidR="00ED40B5" w:rsidRDefault="00ED40B5" w:rsidP="00ED40B5">
      <w:pPr>
        <w:pStyle w:val="AOGenNum2"/>
      </w:pPr>
      <w:r>
        <w:t>Domicile election and notices</w:t>
      </w:r>
    </w:p>
    <w:p w14:paraId="739EE647" w14:textId="77777777" w:rsidR="00ED40B5" w:rsidRDefault="00ED40B5" w:rsidP="00ED40B5">
      <w:pPr>
        <w:pStyle w:val="AOGenNum2Para"/>
      </w:pPr>
      <w:r>
        <w:t xml:space="preserve">According to clause </w:t>
      </w:r>
      <w:r>
        <w:fldChar w:fldCharType="begin"/>
      </w:r>
      <w:r>
        <w:instrText xml:space="preserve"> REF _Ref478212067 \n \h </w:instrText>
      </w:r>
      <w:r>
        <w:fldChar w:fldCharType="separate"/>
      </w:r>
      <w:r>
        <w:t>I.4.2</w:t>
      </w:r>
      <w:r>
        <w:fldChar w:fldCharType="end"/>
      </w:r>
      <w:r>
        <w:t xml:space="preserve"> of chapter I of the Regasification Code and for the purposes of the Capacity Agreement, the User </w:t>
      </w:r>
      <w:proofErr w:type="gramStart"/>
      <w:r>
        <w:t>elects</w:t>
      </w:r>
      <w:proofErr w:type="gramEnd"/>
      <w:r>
        <w:t xml:space="preserve"> domicile at [</w:t>
      </w:r>
      <w:r>
        <w:rPr>
          <w:i/>
          <w:iCs/>
        </w:rPr>
        <w:t>insert address</w:t>
      </w:r>
      <w:r>
        <w:t xml:space="preserve">] in Milan, and undertakes to maintain such a domicile in Milan, for the entire duration of this Capacity Agreement. </w:t>
      </w:r>
    </w:p>
    <w:p w14:paraId="31F53046" w14:textId="77777777" w:rsidR="00ED40B5" w:rsidRPr="002B78CD" w:rsidRDefault="00ED40B5" w:rsidP="00ED40B5">
      <w:pPr>
        <w:pStyle w:val="AOGenNum2Para"/>
      </w:pPr>
      <w:r>
        <w:t xml:space="preserve">Any communication and notice to the User made by the Operating Company pursuant to clause </w:t>
      </w:r>
      <w:r>
        <w:fldChar w:fldCharType="begin"/>
      </w:r>
      <w:r>
        <w:instrText xml:space="preserve"> REF _Ref478212091 \n \h </w:instrText>
      </w:r>
      <w:r>
        <w:fldChar w:fldCharType="separate"/>
      </w:r>
      <w:r>
        <w:t>III.16</w:t>
      </w:r>
      <w:r>
        <w:fldChar w:fldCharType="end"/>
      </w:r>
      <w:r>
        <w:t xml:space="preserve"> of </w:t>
      </w:r>
      <w:r w:rsidRPr="002B78CD">
        <w:t xml:space="preserve">chapter III of the Regasification Code, shall be sent at the address set out in article 5.1 </w:t>
      </w:r>
      <w:r w:rsidRPr="002B78CD">
        <w:lastRenderedPageBreak/>
        <w:t>above to the attention of Mr. [</w:t>
      </w:r>
      <w:r w:rsidRPr="002B78CD">
        <w:rPr>
          <w:i/>
          <w:iCs/>
        </w:rPr>
        <w:t>insert addressee</w:t>
      </w:r>
      <w:r w:rsidRPr="002B78CD">
        <w:t>], fax number [</w:t>
      </w:r>
      <w:r w:rsidRPr="002B78CD">
        <w:rPr>
          <w:i/>
          <w:iCs/>
        </w:rPr>
        <w:t>insert fax number</w:t>
      </w:r>
      <w:r w:rsidRPr="002B78CD">
        <w:t>], e-mail address [</w:t>
      </w:r>
      <w:r w:rsidRPr="002B78CD">
        <w:rPr>
          <w:i/>
          <w:iCs/>
        </w:rPr>
        <w:t>insert e-mail address</w:t>
      </w:r>
      <w:r w:rsidRPr="002B78CD">
        <w:t>].</w:t>
      </w:r>
    </w:p>
    <w:p w14:paraId="2649B849" w14:textId="77777777" w:rsidR="00ED40B5" w:rsidRPr="002B78CD" w:rsidRDefault="00ED40B5" w:rsidP="00ED40B5">
      <w:pPr>
        <w:pStyle w:val="AOGenNum2"/>
        <w:rPr>
          <w:b w:val="0"/>
          <w:bCs/>
        </w:rPr>
      </w:pPr>
      <w:r w:rsidRPr="002B78CD">
        <w:rPr>
          <w:b w:val="0"/>
          <w:bCs/>
        </w:rPr>
        <w:t>[</w:t>
      </w:r>
      <w:r w:rsidRPr="002B78CD">
        <w:t>Financing of the Terminal</w:t>
      </w:r>
      <w:r w:rsidRPr="002B78CD">
        <w:rPr>
          <w:rStyle w:val="FootnoteReference"/>
          <w:b w:val="0"/>
          <w:bCs/>
        </w:rPr>
        <w:footnoteReference w:id="6"/>
      </w:r>
    </w:p>
    <w:p w14:paraId="752F8D9A" w14:textId="77777777" w:rsidR="00ED40B5" w:rsidRPr="002B78CD" w:rsidRDefault="00ED40B5" w:rsidP="00ED40B5">
      <w:pPr>
        <w:pStyle w:val="AODocTxtL1"/>
        <w:ind w:left="709" w:hanging="709"/>
        <w:rPr>
          <w:bCs/>
        </w:rPr>
      </w:pPr>
      <w:r w:rsidRPr="002B78CD">
        <w:rPr>
          <w:bCs/>
        </w:rPr>
        <w:t>6.1</w:t>
      </w:r>
      <w:r w:rsidRPr="002B78CD">
        <w:rPr>
          <w:bCs/>
        </w:rPr>
        <w:tab/>
        <w:t>At the request of the Operating Company the User agrees: (</w:t>
      </w:r>
      <w:proofErr w:type="spellStart"/>
      <w:r w:rsidRPr="002B78CD">
        <w:rPr>
          <w:bCs/>
        </w:rPr>
        <w:t>i</w:t>
      </w:r>
      <w:proofErr w:type="spellEnd"/>
      <w:r w:rsidRPr="002B78CD">
        <w:rPr>
          <w:bCs/>
        </w:rPr>
        <w:t>) to allow the Operating Company to create a security interest in favour of the Operating Company's lenders in this Capacity Agreement; and (ii) to enter into a direct agreement with [</w:t>
      </w:r>
      <w:r w:rsidRPr="002B78CD">
        <w:rPr>
          <w:bCs/>
          <w:i/>
        </w:rPr>
        <w:t>Operating Company’s lenders</w:t>
      </w:r>
      <w:r w:rsidRPr="002B78CD">
        <w:rPr>
          <w:bCs/>
        </w:rPr>
        <w:t>] (the "</w:t>
      </w:r>
      <w:r w:rsidRPr="002B78CD">
        <w:rPr>
          <w:b/>
          <w:bCs/>
        </w:rPr>
        <w:t>Lenders</w:t>
      </w:r>
      <w:r w:rsidRPr="002B78CD">
        <w:rPr>
          <w:bCs/>
        </w:rPr>
        <w:t>").</w:t>
      </w:r>
    </w:p>
    <w:p w14:paraId="3C5838EB" w14:textId="77777777" w:rsidR="00ED40B5" w:rsidRPr="002B78CD" w:rsidRDefault="00ED40B5" w:rsidP="00ED40B5">
      <w:pPr>
        <w:pStyle w:val="AODocTxtL1"/>
        <w:ind w:left="0"/>
      </w:pPr>
      <w:r w:rsidRPr="002B78CD">
        <w:t>6.2</w:t>
      </w:r>
      <w:r w:rsidRPr="002B78CD">
        <w:tab/>
        <w:t>The direct agreement is attached to this Capacity Agreement as Schedule (2).]</w:t>
      </w:r>
    </w:p>
    <w:p w14:paraId="1F8C5F79" w14:textId="77777777" w:rsidR="00ED40B5" w:rsidRPr="002B78CD" w:rsidRDefault="00ED40B5" w:rsidP="00ED40B5">
      <w:pPr>
        <w:pStyle w:val="AOGenNum2"/>
      </w:pPr>
      <w:r w:rsidRPr="002B78CD">
        <w:t>Application of the Regasification Code</w:t>
      </w:r>
    </w:p>
    <w:p w14:paraId="67375F19" w14:textId="77777777" w:rsidR="00ED40B5" w:rsidRPr="002B78CD" w:rsidRDefault="00ED40B5" w:rsidP="00ED40B5">
      <w:pPr>
        <w:pStyle w:val="AODocTxtL1"/>
      </w:pPr>
      <w:r w:rsidRPr="002B78CD">
        <w:t>This Capacity Agreement is subject to the terms and conditions of the Regasification Code, which are incorporated herein by reference.</w:t>
      </w:r>
    </w:p>
    <w:p w14:paraId="5248407C" w14:textId="74E6ECE9" w:rsidR="00ED40B5" w:rsidRPr="002B78CD" w:rsidRDefault="00ED40B5" w:rsidP="00761949">
      <w:pPr>
        <w:pStyle w:val="AOGenNum2"/>
      </w:pPr>
      <w:r w:rsidRPr="002B78CD">
        <w:t>[Condition Precedent</w:t>
      </w:r>
    </w:p>
    <w:p w14:paraId="38DEBF4C" w14:textId="63631AC0" w:rsidR="00ED40B5" w:rsidRPr="002B78CD" w:rsidRDefault="00ED40B5" w:rsidP="002B78CD">
      <w:pPr>
        <w:pStyle w:val="AODocTxtL1"/>
      </w:pPr>
      <w:r w:rsidRPr="002B78CD">
        <w:t xml:space="preserve">The Capacity Agreement is subject to the condition precedent that the other Applicant(s) with higher ranking Access Request(s) does (do) not Accept its (their) respective Modified Acceptance(s) pursuant to clause </w:t>
      </w:r>
      <w:r w:rsidRPr="002B78CD">
        <w:fldChar w:fldCharType="begin"/>
      </w:r>
      <w:r w:rsidRPr="002B78CD">
        <w:instrText xml:space="preserve"> REF _Ref477007897 \n \h  \* MERGEFORMAT </w:instrText>
      </w:r>
      <w:r w:rsidRPr="002B78CD">
        <w:fldChar w:fldCharType="separate"/>
      </w:r>
      <w:r w:rsidRPr="002B78CD">
        <w:t>2.4.2</w:t>
      </w:r>
      <w:r w:rsidRPr="002B78CD">
        <w:fldChar w:fldCharType="end"/>
      </w:r>
      <w:r w:rsidRPr="002B78CD">
        <w:t xml:space="preserve"> (a) (x) of chapter II of the Regasification Code.]</w:t>
      </w:r>
      <w:r w:rsidRPr="002B78CD">
        <w:rPr>
          <w:rStyle w:val="FootnoteReference"/>
        </w:rPr>
        <w:footnoteReference w:id="7"/>
      </w:r>
    </w:p>
    <w:p w14:paraId="50C3732A" w14:textId="4909229B" w:rsidR="00761949" w:rsidRPr="002B78CD" w:rsidRDefault="00761949" w:rsidP="002B78CD">
      <w:pPr>
        <w:pStyle w:val="AOGenNum2"/>
      </w:pPr>
      <w:bookmarkStart w:id="2" w:name="_Ref134400997"/>
      <w:r w:rsidRPr="002B78CD">
        <w:t>[Condition Subsequent</w:t>
      </w:r>
      <w:bookmarkEnd w:id="2"/>
      <w:r w:rsidR="00AF2B1F" w:rsidRPr="002B78CD">
        <w:t xml:space="preserve"> to the Incremental Capacity </w:t>
      </w:r>
    </w:p>
    <w:p w14:paraId="2E1F387C" w14:textId="6C353A27" w:rsidR="00761949" w:rsidRPr="002B78CD" w:rsidRDefault="00AF2B1F" w:rsidP="002B78CD">
      <w:pPr>
        <w:pStyle w:val="AOGenNum2Para"/>
      </w:pPr>
      <w:bookmarkStart w:id="3" w:name="_Ref134400341"/>
      <w:r w:rsidRPr="002B78CD">
        <w:t>With reference to the Incremental Capacity only, t</w:t>
      </w:r>
      <w:r w:rsidR="00761949" w:rsidRPr="002B78CD">
        <w:t xml:space="preserve">his Capacity Agreement shall be terminated in accordance with article </w:t>
      </w:r>
      <w:r w:rsidR="00761949" w:rsidRPr="002B78CD">
        <w:fldChar w:fldCharType="begin"/>
      </w:r>
      <w:r w:rsidR="00761949" w:rsidRPr="002B78CD">
        <w:instrText xml:space="preserve"> REF _Ref134400094 \r \h </w:instrText>
      </w:r>
      <w:r w:rsidR="00395B66" w:rsidRPr="002B78CD">
        <w:instrText xml:space="preserve"> \* MERGEFORMAT </w:instrText>
      </w:r>
      <w:r w:rsidR="00761949" w:rsidRPr="002B78CD">
        <w:fldChar w:fldCharType="separate"/>
      </w:r>
      <w:r w:rsidR="00761949" w:rsidRPr="002B78CD">
        <w:rPr>
          <w:cs/>
        </w:rPr>
        <w:t>‎</w:t>
      </w:r>
      <w:r w:rsidR="00761949" w:rsidRPr="002B78CD">
        <w:t>9.2</w:t>
      </w:r>
      <w:r w:rsidR="00761949" w:rsidRPr="002B78CD">
        <w:fldChar w:fldCharType="end"/>
      </w:r>
      <w:r w:rsidR="00761949" w:rsidRPr="002B78CD">
        <w:t xml:space="preserve">, pursuant to article 1353 of the Italian Civil Code, with retroactive effect, if the Operating Company, within 2 (two) months from the conclusion of this Capacity Agreement, decides not to implement the Incremental Capacity, also taking into account the financial </w:t>
      </w:r>
      <w:r w:rsidR="006D0AD8" w:rsidRPr="002B78CD">
        <w:t xml:space="preserve">and technical </w:t>
      </w:r>
      <w:r w:rsidR="00761949" w:rsidRPr="002B78CD">
        <w:t xml:space="preserve">conditions of the intervention </w:t>
      </w:r>
      <w:r w:rsidRPr="002B78CD">
        <w:t>for its implementation</w:t>
      </w:r>
      <w:r w:rsidR="00761949" w:rsidRPr="002B78CD">
        <w:t>(the “</w:t>
      </w:r>
      <w:r w:rsidR="00761949" w:rsidRPr="002B78CD">
        <w:rPr>
          <w:b/>
          <w:bCs/>
        </w:rPr>
        <w:t>Condition Subsequent</w:t>
      </w:r>
      <w:r w:rsidR="00761949" w:rsidRPr="002B78CD">
        <w:t>”).</w:t>
      </w:r>
      <w:bookmarkEnd w:id="3"/>
    </w:p>
    <w:p w14:paraId="385609D2" w14:textId="5104D132" w:rsidR="00761949" w:rsidRPr="002B78CD" w:rsidRDefault="006C17C1" w:rsidP="002B78CD">
      <w:pPr>
        <w:pStyle w:val="AOGenNum2Para"/>
      </w:pPr>
      <w:bookmarkStart w:id="4" w:name="_Ref134400641"/>
      <w:bookmarkStart w:id="5" w:name="_Ref134400094"/>
      <w:r w:rsidRPr="002B78CD">
        <w:t xml:space="preserve">The fulfilment of the Condition Subsequent referred to in article </w:t>
      </w:r>
      <w:r w:rsidRPr="002B78CD">
        <w:fldChar w:fldCharType="begin"/>
      </w:r>
      <w:r w:rsidRPr="002B78CD">
        <w:instrText xml:space="preserve"> REF _Ref134400341 \r \h </w:instrText>
      </w:r>
      <w:r w:rsidR="00395B66" w:rsidRPr="002B78CD">
        <w:instrText xml:space="preserve"> \* MERGEFORMAT </w:instrText>
      </w:r>
      <w:r w:rsidRPr="002B78CD">
        <w:fldChar w:fldCharType="separate"/>
      </w:r>
      <w:r w:rsidRPr="002B78CD">
        <w:rPr>
          <w:cs/>
        </w:rPr>
        <w:t>‎</w:t>
      </w:r>
      <w:r w:rsidRPr="002B78CD">
        <w:t>9.1</w:t>
      </w:r>
      <w:r w:rsidRPr="002B78CD">
        <w:fldChar w:fldCharType="end"/>
      </w:r>
      <w:r w:rsidRPr="002B78CD">
        <w:t xml:space="preserve"> above shall be notified in writing by the Operating Company to the User. Upon sending by the Operating Company to the User of the notice of fulfilment of the Condition Subsequent:</w:t>
      </w:r>
      <w:bookmarkEnd w:id="4"/>
    </w:p>
    <w:p w14:paraId="3AC78238" w14:textId="40DA3BB6" w:rsidR="006C17C1" w:rsidRPr="002B78CD" w:rsidRDefault="00AF2B1F" w:rsidP="002B78CD">
      <w:pPr>
        <w:pStyle w:val="AOGenNum2List"/>
        <w:numPr>
          <w:ilvl w:val="3"/>
          <w:numId w:val="2"/>
        </w:numPr>
        <w:tabs>
          <w:tab w:val="clear" w:pos="1571"/>
        </w:tabs>
        <w:spacing w:after="200"/>
      </w:pPr>
      <w:r w:rsidRPr="002B78CD">
        <w:t xml:space="preserve">with reference to the Incremental Capacity only, </w:t>
      </w:r>
      <w:r w:rsidR="006C17C1" w:rsidRPr="002B78CD">
        <w:t xml:space="preserve">this Capacity Agreement shall terminate pursuant to </w:t>
      </w:r>
      <w:r w:rsidR="003D719C" w:rsidRPr="002B78CD">
        <w:t>a</w:t>
      </w:r>
      <w:r w:rsidR="006C17C1" w:rsidRPr="002B78CD">
        <w:t xml:space="preserve">rticle 1353 of the </w:t>
      </w:r>
      <w:r w:rsidR="003D719C" w:rsidRPr="002B78CD">
        <w:t xml:space="preserve">Italian </w:t>
      </w:r>
      <w:r w:rsidR="006C17C1" w:rsidRPr="002B78CD">
        <w:t xml:space="preserve">Civil Code with retroactive effect. This Capacity </w:t>
      </w:r>
      <w:r w:rsidR="003D719C" w:rsidRPr="002B78CD">
        <w:t>Agreement</w:t>
      </w:r>
      <w:r w:rsidR="006C17C1" w:rsidRPr="002B78CD">
        <w:t>, once terminated pursuant to</w:t>
      </w:r>
      <w:r w:rsidR="003D719C" w:rsidRPr="002B78CD">
        <w:t xml:space="preserve"> this article </w:t>
      </w:r>
      <w:r w:rsidR="003D719C" w:rsidRPr="002B78CD">
        <w:fldChar w:fldCharType="begin"/>
      </w:r>
      <w:r w:rsidR="003D719C" w:rsidRPr="002B78CD">
        <w:instrText xml:space="preserve"> REF _Ref134400641 \r \h </w:instrText>
      </w:r>
      <w:r w:rsidR="00395B66" w:rsidRPr="002B78CD">
        <w:instrText xml:space="preserve"> \* MERGEFORMAT </w:instrText>
      </w:r>
      <w:r w:rsidR="003D719C" w:rsidRPr="002B78CD">
        <w:fldChar w:fldCharType="separate"/>
      </w:r>
      <w:r w:rsidR="003D719C" w:rsidRPr="002B78CD">
        <w:rPr>
          <w:cs/>
        </w:rPr>
        <w:t>‎</w:t>
      </w:r>
      <w:r w:rsidR="003D719C" w:rsidRPr="002B78CD">
        <w:t>9.2</w:t>
      </w:r>
      <w:r w:rsidR="003D719C" w:rsidRPr="002B78CD">
        <w:fldChar w:fldCharType="end"/>
      </w:r>
      <w:r w:rsidR="006C17C1" w:rsidRPr="002B78CD">
        <w:t>, shall no longer have any effect</w:t>
      </w:r>
      <w:r w:rsidRPr="002B78CD">
        <w:t xml:space="preserve"> with reference to the Incremental Capacity </w:t>
      </w:r>
      <w:proofErr w:type="gramStart"/>
      <w:r w:rsidRPr="002B78CD">
        <w:t>only</w:t>
      </w:r>
      <w:r w:rsidR="003D719C" w:rsidRPr="002B78CD">
        <w:t>;</w:t>
      </w:r>
      <w:proofErr w:type="gramEnd"/>
    </w:p>
    <w:p w14:paraId="112DFFCE" w14:textId="103CF129" w:rsidR="003D719C" w:rsidRPr="002B78CD" w:rsidRDefault="003D719C" w:rsidP="002B78CD">
      <w:pPr>
        <w:pStyle w:val="AOGenNum2List"/>
        <w:numPr>
          <w:ilvl w:val="3"/>
          <w:numId w:val="2"/>
        </w:numPr>
        <w:tabs>
          <w:tab w:val="clear" w:pos="1571"/>
        </w:tabs>
        <w:spacing w:after="200"/>
      </w:pPr>
      <w:r w:rsidRPr="002B78CD">
        <w:t>the related Access Request submitted by the User</w:t>
      </w:r>
      <w:r w:rsidR="00AF2B1F" w:rsidRPr="002B78CD">
        <w:t xml:space="preserve">, with reference to Incremental Capacity only, </w:t>
      </w:r>
      <w:r w:rsidRPr="002B78CD">
        <w:t xml:space="preserve">and the subsequent allocation of the Incremental Capacity in its favour as a result of the Annual Subscription Procedure shall no longer have any </w:t>
      </w:r>
      <w:proofErr w:type="gramStart"/>
      <w:r w:rsidRPr="002B78CD">
        <w:t>effect;</w:t>
      </w:r>
      <w:proofErr w:type="gramEnd"/>
    </w:p>
    <w:p w14:paraId="70F62EAB" w14:textId="0F319913" w:rsidR="003D719C" w:rsidRPr="002B78CD" w:rsidRDefault="003D719C" w:rsidP="002B78CD">
      <w:pPr>
        <w:pStyle w:val="AOGenNum2List"/>
        <w:numPr>
          <w:ilvl w:val="3"/>
          <w:numId w:val="2"/>
        </w:numPr>
        <w:tabs>
          <w:tab w:val="clear" w:pos="1571"/>
        </w:tabs>
        <w:spacing w:after="200"/>
      </w:pPr>
      <w:r w:rsidRPr="002B78CD">
        <w:t>the User shall not be entitled to make any claim against the Operating Company (including, by way of example, but not limited to, any right to compensation for damages</w:t>
      </w:r>
      <w:r w:rsidR="00090F46" w:rsidRPr="002B78CD">
        <w:t>,</w:t>
      </w:r>
      <w:r w:rsidRPr="002B78CD">
        <w:t xml:space="preserve"> </w:t>
      </w:r>
      <w:r w:rsidR="00090F46" w:rsidRPr="002B78CD">
        <w:lastRenderedPageBreak/>
        <w:t>indemnification</w:t>
      </w:r>
      <w:r w:rsidRPr="002B78CD">
        <w:t xml:space="preserve"> and/or reimbursement) in relation to the ineffectiveness of the </w:t>
      </w:r>
      <w:r w:rsidR="00090F46" w:rsidRPr="002B78CD">
        <w:t xml:space="preserve">related </w:t>
      </w:r>
      <w:r w:rsidRPr="002B78CD">
        <w:t>Access Request</w:t>
      </w:r>
      <w:r w:rsidR="00AF2B1F" w:rsidRPr="002B78CD">
        <w:t xml:space="preserve">, in relation to Incremental Capacity only, </w:t>
      </w:r>
      <w:r w:rsidRPr="002B78CD">
        <w:t>and the allocation of Incremental Capacity referred to in letter (b) above and</w:t>
      </w:r>
      <w:r w:rsidR="00AF2B1F" w:rsidRPr="002B78CD">
        <w:t xml:space="preserve">, with reference to the Incremental Capacity only, </w:t>
      </w:r>
      <w:r w:rsidRPr="002B78CD">
        <w:t xml:space="preserve">to the termination of this Capacity </w:t>
      </w:r>
      <w:r w:rsidR="00090F46" w:rsidRPr="002B78CD">
        <w:t xml:space="preserve">Agreement </w:t>
      </w:r>
      <w:r w:rsidRPr="002B78CD">
        <w:t xml:space="preserve">referred to in this article </w:t>
      </w:r>
      <w:r w:rsidR="00090F46" w:rsidRPr="002B78CD">
        <w:fldChar w:fldCharType="begin"/>
      </w:r>
      <w:r w:rsidR="00090F46" w:rsidRPr="002B78CD">
        <w:instrText xml:space="preserve"> REF _Ref134400997 \r \h </w:instrText>
      </w:r>
      <w:r w:rsidR="00395B66" w:rsidRPr="002B78CD">
        <w:instrText xml:space="preserve"> \* MERGEFORMAT </w:instrText>
      </w:r>
      <w:r w:rsidR="00090F46" w:rsidRPr="002B78CD">
        <w:fldChar w:fldCharType="separate"/>
      </w:r>
      <w:r w:rsidR="00090F46" w:rsidRPr="002B78CD">
        <w:rPr>
          <w:cs/>
        </w:rPr>
        <w:t>‎</w:t>
      </w:r>
      <w:r w:rsidR="00090F46" w:rsidRPr="002B78CD">
        <w:t>9</w:t>
      </w:r>
      <w:r w:rsidR="00090F46" w:rsidRPr="002B78CD">
        <w:fldChar w:fldCharType="end"/>
      </w:r>
      <w:r w:rsidRPr="002B78CD">
        <w:t>.</w:t>
      </w:r>
    </w:p>
    <w:p w14:paraId="40FCFEA6" w14:textId="3E8F53DD" w:rsidR="00090F46" w:rsidRPr="002B78CD" w:rsidRDefault="00090F46" w:rsidP="002B78CD">
      <w:pPr>
        <w:pStyle w:val="AOGenNum2Para"/>
      </w:pPr>
      <w:r w:rsidRPr="002B78CD">
        <w:t>Article 1359 of the Italian Civil Code shall not apply to the Condition Subsequent.]</w:t>
      </w:r>
      <w:r w:rsidRPr="002B78CD">
        <w:rPr>
          <w:rStyle w:val="FootnoteReference"/>
        </w:rPr>
        <w:footnoteReference w:id="8"/>
      </w:r>
    </w:p>
    <w:bookmarkEnd w:id="5"/>
    <w:p w14:paraId="545D8FD0" w14:textId="77777777" w:rsidR="00ED40B5" w:rsidRPr="002B78CD" w:rsidRDefault="00ED40B5" w:rsidP="002B78CD">
      <w:pPr>
        <w:pStyle w:val="AODocTxtL1"/>
        <w:numPr>
          <w:ilvl w:val="0"/>
          <w:numId w:val="0"/>
        </w:numPr>
        <w:ind w:left="720"/>
      </w:pPr>
      <w:r w:rsidRPr="002B78CD">
        <w:t>[Place], [date]</w:t>
      </w:r>
    </w:p>
    <w:p w14:paraId="24630A29" w14:textId="77777777" w:rsidR="00ED40B5" w:rsidRPr="002B78CD" w:rsidRDefault="00ED40B5" w:rsidP="002B78CD">
      <w:pPr>
        <w:pStyle w:val="AODocTxtL1"/>
      </w:pPr>
      <w:r w:rsidRPr="002B78CD">
        <w:t>[Applicant]</w:t>
      </w:r>
    </w:p>
    <w:p w14:paraId="06899A72" w14:textId="77777777" w:rsidR="00ED40B5" w:rsidRPr="002B78CD" w:rsidRDefault="00ED40B5" w:rsidP="002B78CD">
      <w:pPr>
        <w:pStyle w:val="AODocTxtL1"/>
      </w:pPr>
      <w:r w:rsidRPr="002B78CD">
        <w:t xml:space="preserve">By: </w:t>
      </w:r>
      <w:r w:rsidRPr="002B78CD">
        <w:tab/>
        <w:t>_________________</w:t>
      </w:r>
    </w:p>
    <w:p w14:paraId="67F6A8D4" w14:textId="77777777" w:rsidR="00ED40B5" w:rsidRPr="002B78CD" w:rsidRDefault="00ED40B5" w:rsidP="002B78CD">
      <w:pPr>
        <w:pStyle w:val="AODocTxtL1"/>
      </w:pPr>
      <w:r w:rsidRPr="002B78CD">
        <w:t>Title:</w:t>
      </w:r>
      <w:r w:rsidRPr="002B78CD">
        <w:tab/>
        <w:t>_________________</w:t>
      </w:r>
    </w:p>
    <w:p w14:paraId="7CB7CDAA" w14:textId="77777777" w:rsidR="00ED40B5" w:rsidRPr="002B78CD" w:rsidRDefault="00ED40B5" w:rsidP="002B78CD">
      <w:pPr>
        <w:pStyle w:val="AODocTxtL1"/>
      </w:pPr>
    </w:p>
    <w:p w14:paraId="3259EE3E" w14:textId="6842346D" w:rsidR="00ED40B5" w:rsidRPr="002B78CD" w:rsidRDefault="00ED40B5" w:rsidP="002B78CD">
      <w:pPr>
        <w:pStyle w:val="AODocTxtL1"/>
        <w:shd w:val="clear" w:color="auto" w:fill="FFFFFF" w:themeFill="background1"/>
      </w:pPr>
      <w:r w:rsidRPr="002B78CD">
        <w:t xml:space="preserve">The User, hereby, unconditionally approves, pursuant to and for the purposes of, articles 1341 and 1342 of the Italian Civil Code, </w:t>
      </w:r>
      <w:r w:rsidR="00090F46" w:rsidRPr="002B78CD">
        <w:t>[article 9 of the Capacity Agreement and]</w:t>
      </w:r>
      <w:r w:rsidR="00AF2B1F" w:rsidRPr="002B78CD">
        <w:t xml:space="preserve"> </w:t>
      </w:r>
      <w:r w:rsidRPr="002B78CD">
        <w:t>the following articles of the Regasification Code:</w:t>
      </w:r>
    </w:p>
    <w:p w14:paraId="3F158130" w14:textId="77777777" w:rsidR="00ED40B5" w:rsidRPr="002B78CD" w:rsidRDefault="00ED40B5" w:rsidP="002B78CD">
      <w:pPr>
        <w:shd w:val="clear" w:color="auto" w:fill="FFFFFF" w:themeFill="background1"/>
        <w:ind w:left="709"/>
        <w:rPr>
          <w:sz w:val="22"/>
          <w:szCs w:val="22"/>
        </w:rPr>
      </w:pPr>
      <w:bookmarkStart w:id="6" w:name="_DV_C270"/>
    </w:p>
    <w:p w14:paraId="3709DEE9" w14:textId="77777777" w:rsidR="00ED40B5" w:rsidRPr="002B78CD" w:rsidRDefault="00ED40B5" w:rsidP="002B78CD">
      <w:pPr>
        <w:shd w:val="clear" w:color="auto" w:fill="FFFFFF" w:themeFill="background1"/>
        <w:ind w:left="709"/>
        <w:jc w:val="both"/>
        <w:rPr>
          <w:sz w:val="22"/>
          <w:szCs w:val="22"/>
          <w:u w:val="single"/>
        </w:rPr>
      </w:pPr>
      <w:r w:rsidRPr="002B78CD">
        <w:rPr>
          <w:sz w:val="22"/>
          <w:szCs w:val="22"/>
          <w:u w:val="single"/>
        </w:rPr>
        <w:t>CHAPTER I:</w:t>
      </w:r>
    </w:p>
    <w:p w14:paraId="10B96DA2" w14:textId="77777777" w:rsidR="00ED40B5" w:rsidRPr="002B78CD" w:rsidRDefault="00ED40B5" w:rsidP="002B78CD">
      <w:pPr>
        <w:shd w:val="clear" w:color="auto" w:fill="FFFFFF" w:themeFill="background1"/>
        <w:spacing w:before="120"/>
        <w:ind w:left="709"/>
        <w:jc w:val="both"/>
        <w:rPr>
          <w:sz w:val="22"/>
          <w:szCs w:val="22"/>
        </w:rPr>
      </w:pPr>
      <w:r w:rsidRPr="002B78CD">
        <w:rPr>
          <w:b/>
          <w:sz w:val="22"/>
          <w:szCs w:val="22"/>
        </w:rPr>
        <w:t>4.1</w:t>
      </w:r>
      <w:r w:rsidRPr="002B78CD">
        <w:rPr>
          <w:sz w:val="22"/>
          <w:szCs w:val="22"/>
        </w:rPr>
        <w:t xml:space="preserve"> “</w:t>
      </w:r>
      <w:r w:rsidRPr="002B78CD">
        <w:rPr>
          <w:i/>
          <w:sz w:val="22"/>
          <w:szCs w:val="22"/>
        </w:rPr>
        <w:t>Competence of the Regulatory Authority for Electricity and Gas”;</w:t>
      </w:r>
      <w:r w:rsidRPr="002B78CD">
        <w:rPr>
          <w:sz w:val="22"/>
          <w:szCs w:val="22"/>
        </w:rPr>
        <w:t xml:space="preserve"> </w:t>
      </w:r>
      <w:r w:rsidRPr="002B78CD">
        <w:rPr>
          <w:b/>
          <w:sz w:val="22"/>
          <w:szCs w:val="22"/>
        </w:rPr>
        <w:t>4.2</w:t>
      </w:r>
      <w:r w:rsidRPr="002B78CD">
        <w:rPr>
          <w:sz w:val="22"/>
          <w:szCs w:val="22"/>
        </w:rPr>
        <w:t xml:space="preserve"> “</w:t>
      </w:r>
      <w:r w:rsidRPr="002B78CD">
        <w:rPr>
          <w:i/>
          <w:sz w:val="22"/>
          <w:szCs w:val="22"/>
        </w:rPr>
        <w:t>Submission to jurisdiction</w:t>
      </w:r>
      <w:r w:rsidRPr="002B78CD">
        <w:rPr>
          <w:sz w:val="22"/>
          <w:szCs w:val="22"/>
        </w:rPr>
        <w:t xml:space="preserve">”; </w:t>
      </w:r>
      <w:r w:rsidRPr="002B78CD">
        <w:rPr>
          <w:b/>
          <w:sz w:val="22"/>
          <w:szCs w:val="22"/>
        </w:rPr>
        <w:t>4.3</w:t>
      </w:r>
      <w:r w:rsidRPr="002B78CD">
        <w:rPr>
          <w:sz w:val="22"/>
          <w:szCs w:val="22"/>
        </w:rPr>
        <w:t xml:space="preserve"> “</w:t>
      </w:r>
      <w:r w:rsidRPr="002B78CD">
        <w:rPr>
          <w:i/>
          <w:sz w:val="22"/>
          <w:szCs w:val="22"/>
        </w:rPr>
        <w:t>Arbitration of Technical Disputes</w:t>
      </w:r>
      <w:r w:rsidRPr="002B78CD">
        <w:rPr>
          <w:sz w:val="22"/>
          <w:szCs w:val="22"/>
        </w:rPr>
        <w:t>”.</w:t>
      </w:r>
    </w:p>
    <w:p w14:paraId="34AFA34A" w14:textId="77777777" w:rsidR="00ED40B5" w:rsidRPr="002B78CD" w:rsidRDefault="00ED40B5" w:rsidP="00ED40B5">
      <w:pPr>
        <w:ind w:left="709"/>
        <w:jc w:val="both"/>
        <w:rPr>
          <w:sz w:val="22"/>
          <w:szCs w:val="22"/>
        </w:rPr>
      </w:pPr>
    </w:p>
    <w:p w14:paraId="511813A4" w14:textId="77777777" w:rsidR="00ED40B5" w:rsidRPr="002B78CD" w:rsidRDefault="00ED40B5" w:rsidP="00ED40B5">
      <w:pPr>
        <w:ind w:left="709"/>
        <w:jc w:val="both"/>
        <w:rPr>
          <w:sz w:val="22"/>
          <w:szCs w:val="22"/>
          <w:u w:val="single"/>
        </w:rPr>
      </w:pPr>
      <w:r w:rsidRPr="002B78CD">
        <w:rPr>
          <w:sz w:val="22"/>
          <w:szCs w:val="22"/>
          <w:u w:val="single"/>
        </w:rPr>
        <w:t>CHAPTER II:</w:t>
      </w:r>
    </w:p>
    <w:p w14:paraId="23B6588A" w14:textId="77777777" w:rsidR="00ED40B5" w:rsidRPr="002B78CD" w:rsidRDefault="00ED40B5" w:rsidP="00ED40B5">
      <w:pPr>
        <w:spacing w:before="120"/>
        <w:ind w:left="709"/>
        <w:jc w:val="both"/>
        <w:rPr>
          <w:sz w:val="22"/>
          <w:szCs w:val="22"/>
        </w:rPr>
      </w:pPr>
      <w:r w:rsidRPr="002B78CD">
        <w:rPr>
          <w:b/>
          <w:sz w:val="22"/>
          <w:szCs w:val="22"/>
        </w:rPr>
        <w:t>2.4.2</w:t>
      </w:r>
      <w:r w:rsidRPr="002B78CD">
        <w:rPr>
          <w:sz w:val="22"/>
          <w:szCs w:val="22"/>
        </w:rPr>
        <w:t xml:space="preserve"> “</w:t>
      </w:r>
      <w:r w:rsidRPr="002B78CD">
        <w:rPr>
          <w:i/>
          <w:sz w:val="22"/>
          <w:szCs w:val="22"/>
        </w:rPr>
        <w:t>Subscription of Available Capacity</w:t>
      </w:r>
      <w:r w:rsidRPr="002B78CD">
        <w:rPr>
          <w:sz w:val="22"/>
          <w:szCs w:val="22"/>
        </w:rPr>
        <w:t xml:space="preserve">”; </w:t>
      </w:r>
      <w:r w:rsidRPr="002B78CD">
        <w:rPr>
          <w:b/>
          <w:sz w:val="22"/>
          <w:szCs w:val="22"/>
        </w:rPr>
        <w:t>2.4.3</w:t>
      </w:r>
      <w:r w:rsidRPr="002B78CD">
        <w:rPr>
          <w:sz w:val="22"/>
          <w:szCs w:val="22"/>
        </w:rPr>
        <w:t xml:space="preserve"> “</w:t>
      </w:r>
      <w:r w:rsidRPr="002B78CD">
        <w:rPr>
          <w:i/>
          <w:sz w:val="22"/>
          <w:szCs w:val="22"/>
        </w:rPr>
        <w:t>Subscription of Spot Capacity</w:t>
      </w:r>
      <w:r w:rsidRPr="002B78CD">
        <w:rPr>
          <w:sz w:val="22"/>
          <w:szCs w:val="22"/>
        </w:rPr>
        <w:t xml:space="preserve">”; </w:t>
      </w:r>
      <w:r w:rsidRPr="002B78CD">
        <w:rPr>
          <w:b/>
          <w:sz w:val="22"/>
          <w:szCs w:val="22"/>
        </w:rPr>
        <w:t>2.4.6</w:t>
      </w:r>
      <w:r w:rsidRPr="002B78CD">
        <w:rPr>
          <w:sz w:val="22"/>
          <w:szCs w:val="22"/>
        </w:rPr>
        <w:t xml:space="preserve"> “</w:t>
      </w:r>
      <w:r w:rsidRPr="002B78CD">
        <w:rPr>
          <w:i/>
          <w:sz w:val="22"/>
          <w:szCs w:val="22"/>
        </w:rPr>
        <w:t>Access Requests</w:t>
      </w:r>
      <w:r w:rsidRPr="002B78CD">
        <w:rPr>
          <w:sz w:val="22"/>
          <w:szCs w:val="22"/>
        </w:rPr>
        <w:t xml:space="preserve">”; </w:t>
      </w:r>
      <w:r w:rsidRPr="002B78CD">
        <w:rPr>
          <w:b/>
          <w:sz w:val="22"/>
          <w:szCs w:val="22"/>
        </w:rPr>
        <w:t>2.4.8</w:t>
      </w:r>
      <w:r w:rsidRPr="002B78CD">
        <w:rPr>
          <w:sz w:val="22"/>
          <w:szCs w:val="22"/>
        </w:rPr>
        <w:t xml:space="preserve"> “</w:t>
      </w:r>
      <w:r w:rsidRPr="002B78CD">
        <w:rPr>
          <w:i/>
          <w:sz w:val="22"/>
          <w:szCs w:val="22"/>
        </w:rPr>
        <w:t>Execution of Modified Acceptances</w:t>
      </w:r>
      <w:r w:rsidRPr="002B78CD">
        <w:rPr>
          <w:sz w:val="22"/>
          <w:szCs w:val="22"/>
        </w:rPr>
        <w:t xml:space="preserve">”; </w:t>
      </w:r>
      <w:r w:rsidRPr="002B78CD">
        <w:rPr>
          <w:b/>
          <w:sz w:val="22"/>
          <w:szCs w:val="22"/>
        </w:rPr>
        <w:t>2.5</w:t>
      </w:r>
      <w:r w:rsidRPr="002B78CD">
        <w:rPr>
          <w:sz w:val="22"/>
          <w:szCs w:val="22"/>
        </w:rPr>
        <w:t xml:space="preserve"> “</w:t>
      </w:r>
      <w:r w:rsidRPr="002B78CD">
        <w:rPr>
          <w:i/>
          <w:sz w:val="22"/>
          <w:szCs w:val="22"/>
        </w:rPr>
        <w:t>Access Denial</w:t>
      </w:r>
      <w:r w:rsidRPr="002B78CD">
        <w:rPr>
          <w:sz w:val="22"/>
          <w:szCs w:val="22"/>
        </w:rPr>
        <w:t xml:space="preserve">”; </w:t>
      </w:r>
      <w:r w:rsidRPr="002B78CD">
        <w:rPr>
          <w:b/>
          <w:sz w:val="22"/>
          <w:szCs w:val="22"/>
        </w:rPr>
        <w:t>2.6</w:t>
      </w:r>
      <w:r w:rsidRPr="002B78CD">
        <w:rPr>
          <w:sz w:val="22"/>
          <w:szCs w:val="22"/>
        </w:rPr>
        <w:t xml:space="preserve"> “</w:t>
      </w:r>
      <w:r w:rsidRPr="002B78CD">
        <w:rPr>
          <w:i/>
          <w:sz w:val="22"/>
          <w:szCs w:val="22"/>
        </w:rPr>
        <w:t>Released Capacity</w:t>
      </w:r>
      <w:r w:rsidRPr="002B78CD">
        <w:rPr>
          <w:sz w:val="22"/>
          <w:szCs w:val="22"/>
        </w:rPr>
        <w:t xml:space="preserve">”; </w:t>
      </w:r>
      <w:r w:rsidRPr="002B78CD">
        <w:rPr>
          <w:b/>
          <w:sz w:val="22"/>
          <w:szCs w:val="22"/>
        </w:rPr>
        <w:t>2.7</w:t>
      </w:r>
      <w:r w:rsidRPr="002B78CD">
        <w:rPr>
          <w:sz w:val="22"/>
          <w:szCs w:val="22"/>
        </w:rPr>
        <w:t xml:space="preserve"> “</w:t>
      </w:r>
      <w:r w:rsidRPr="002B78CD">
        <w:rPr>
          <w:i/>
          <w:sz w:val="22"/>
          <w:szCs w:val="22"/>
        </w:rPr>
        <w:t>Subscribed Non-Foundation Capacity to be made available to the Operating Company for allocation to third parties pursuant to article 14, sub section 3, of TIRG</w:t>
      </w:r>
      <w:r w:rsidRPr="002B78CD">
        <w:rPr>
          <w:sz w:val="22"/>
          <w:szCs w:val="22"/>
        </w:rPr>
        <w:t xml:space="preserve">”; </w:t>
      </w:r>
      <w:r w:rsidRPr="002B78CD">
        <w:rPr>
          <w:b/>
          <w:sz w:val="22"/>
          <w:szCs w:val="22"/>
        </w:rPr>
        <w:t>2.8</w:t>
      </w:r>
      <w:r w:rsidRPr="002B78CD">
        <w:rPr>
          <w:sz w:val="22"/>
          <w:szCs w:val="22"/>
        </w:rPr>
        <w:t xml:space="preserve"> “</w:t>
      </w:r>
      <w:r w:rsidRPr="002B78CD">
        <w:rPr>
          <w:i/>
          <w:sz w:val="22"/>
          <w:szCs w:val="22"/>
        </w:rPr>
        <w:t>Subscribed Foundation Capacity to be made available to the Operating Company for allocation to third parties pursuant to article 6, sub section 3, of the MAP decree of 11 April 2006</w:t>
      </w:r>
      <w:r w:rsidRPr="002B78CD">
        <w:rPr>
          <w:sz w:val="22"/>
          <w:szCs w:val="22"/>
        </w:rPr>
        <w:t xml:space="preserve">”; </w:t>
      </w:r>
      <w:r w:rsidRPr="002B78CD">
        <w:rPr>
          <w:b/>
          <w:sz w:val="22"/>
          <w:szCs w:val="22"/>
        </w:rPr>
        <w:t>3.2</w:t>
      </w:r>
      <w:r w:rsidRPr="002B78CD">
        <w:rPr>
          <w:sz w:val="22"/>
          <w:szCs w:val="22"/>
        </w:rPr>
        <w:t xml:space="preserve"> “</w:t>
      </w:r>
      <w:r w:rsidRPr="002B78CD">
        <w:rPr>
          <w:i/>
          <w:sz w:val="22"/>
          <w:szCs w:val="22"/>
        </w:rPr>
        <w:t>Annual Scheduling</w:t>
      </w:r>
      <w:r w:rsidRPr="002B78CD">
        <w:rPr>
          <w:sz w:val="22"/>
          <w:szCs w:val="22"/>
        </w:rPr>
        <w:t xml:space="preserve">”; </w:t>
      </w:r>
      <w:r w:rsidRPr="002B78CD">
        <w:rPr>
          <w:b/>
          <w:sz w:val="22"/>
          <w:szCs w:val="22"/>
        </w:rPr>
        <w:t>3.3</w:t>
      </w:r>
      <w:r w:rsidRPr="002B78CD">
        <w:rPr>
          <w:sz w:val="22"/>
          <w:szCs w:val="22"/>
        </w:rPr>
        <w:t xml:space="preserve"> “</w:t>
      </w:r>
      <w:r w:rsidRPr="002B78CD">
        <w:rPr>
          <w:i/>
          <w:sz w:val="22"/>
          <w:szCs w:val="22"/>
        </w:rPr>
        <w:t>Three (3) Month Scheduling</w:t>
      </w:r>
      <w:r w:rsidRPr="002B78CD">
        <w:rPr>
          <w:sz w:val="22"/>
          <w:szCs w:val="22"/>
        </w:rPr>
        <w:t xml:space="preserve">”; </w:t>
      </w:r>
      <w:r w:rsidRPr="002B78CD">
        <w:rPr>
          <w:b/>
          <w:sz w:val="22"/>
          <w:szCs w:val="22"/>
        </w:rPr>
        <w:t>3.7</w:t>
      </w:r>
      <w:r w:rsidRPr="002B78CD">
        <w:rPr>
          <w:sz w:val="22"/>
          <w:szCs w:val="22"/>
        </w:rPr>
        <w:t xml:space="preserve"> “</w:t>
      </w:r>
      <w:r w:rsidRPr="002B78CD">
        <w:rPr>
          <w:i/>
          <w:sz w:val="22"/>
          <w:szCs w:val="22"/>
        </w:rPr>
        <w:t>Unloading Slot unavailability</w:t>
      </w:r>
      <w:r w:rsidRPr="002B78CD">
        <w:rPr>
          <w:sz w:val="22"/>
          <w:szCs w:val="22"/>
        </w:rPr>
        <w:t xml:space="preserve">”. </w:t>
      </w:r>
    </w:p>
    <w:p w14:paraId="256F776F" w14:textId="77777777" w:rsidR="00ED40B5" w:rsidRPr="002B78CD" w:rsidRDefault="00ED40B5" w:rsidP="00ED40B5">
      <w:pPr>
        <w:ind w:left="709"/>
        <w:jc w:val="both"/>
        <w:rPr>
          <w:sz w:val="22"/>
          <w:szCs w:val="22"/>
        </w:rPr>
      </w:pPr>
    </w:p>
    <w:p w14:paraId="404593DF" w14:textId="77777777" w:rsidR="00ED40B5" w:rsidRPr="002B78CD" w:rsidRDefault="00ED40B5" w:rsidP="00ED40B5">
      <w:pPr>
        <w:ind w:left="709"/>
        <w:jc w:val="both"/>
        <w:rPr>
          <w:sz w:val="22"/>
          <w:szCs w:val="22"/>
          <w:u w:val="single"/>
        </w:rPr>
      </w:pPr>
      <w:r w:rsidRPr="002B78CD">
        <w:rPr>
          <w:sz w:val="22"/>
          <w:szCs w:val="22"/>
          <w:u w:val="single"/>
        </w:rPr>
        <w:t>CHAPTER III:</w:t>
      </w:r>
    </w:p>
    <w:p w14:paraId="4846B4D8" w14:textId="77777777" w:rsidR="00ED40B5" w:rsidRPr="002B78CD" w:rsidRDefault="00ED40B5" w:rsidP="00ED40B5">
      <w:pPr>
        <w:spacing w:before="120"/>
        <w:ind w:left="709"/>
        <w:jc w:val="both"/>
        <w:rPr>
          <w:sz w:val="22"/>
          <w:szCs w:val="22"/>
        </w:rPr>
      </w:pPr>
      <w:r w:rsidRPr="002B78CD">
        <w:rPr>
          <w:b/>
          <w:sz w:val="22"/>
          <w:szCs w:val="22"/>
        </w:rPr>
        <w:t>2.2</w:t>
      </w:r>
      <w:r w:rsidRPr="002B78CD">
        <w:rPr>
          <w:sz w:val="22"/>
          <w:szCs w:val="22"/>
        </w:rPr>
        <w:t xml:space="preserve"> “</w:t>
      </w:r>
      <w:r w:rsidRPr="002B78CD">
        <w:rPr>
          <w:i/>
          <w:sz w:val="22"/>
          <w:szCs w:val="22"/>
        </w:rPr>
        <w:t>Parties’ obligations</w:t>
      </w:r>
      <w:r w:rsidRPr="002B78CD">
        <w:rPr>
          <w:sz w:val="22"/>
          <w:szCs w:val="22"/>
        </w:rPr>
        <w:t xml:space="preserve">”; </w:t>
      </w:r>
      <w:r w:rsidRPr="002B78CD">
        <w:rPr>
          <w:b/>
          <w:sz w:val="22"/>
          <w:szCs w:val="22"/>
        </w:rPr>
        <w:t>2.6</w:t>
      </w:r>
      <w:r w:rsidRPr="002B78CD">
        <w:rPr>
          <w:sz w:val="22"/>
          <w:szCs w:val="22"/>
        </w:rPr>
        <w:t xml:space="preserve"> “</w:t>
      </w:r>
      <w:r w:rsidRPr="002B78CD">
        <w:rPr>
          <w:i/>
          <w:sz w:val="22"/>
          <w:szCs w:val="22"/>
        </w:rPr>
        <w:t>User’s standard of performance</w:t>
      </w:r>
      <w:r w:rsidRPr="002B78CD">
        <w:rPr>
          <w:sz w:val="22"/>
          <w:szCs w:val="22"/>
        </w:rPr>
        <w:t xml:space="preserve">”; </w:t>
      </w:r>
      <w:r w:rsidRPr="002B78CD">
        <w:rPr>
          <w:b/>
          <w:sz w:val="22"/>
          <w:szCs w:val="22"/>
        </w:rPr>
        <w:t>2.7</w:t>
      </w:r>
      <w:r w:rsidRPr="002B78CD">
        <w:rPr>
          <w:sz w:val="22"/>
          <w:szCs w:val="22"/>
        </w:rPr>
        <w:t xml:space="preserve"> “</w:t>
      </w:r>
      <w:r w:rsidRPr="002B78CD">
        <w:rPr>
          <w:i/>
          <w:sz w:val="22"/>
          <w:szCs w:val="22"/>
        </w:rPr>
        <w:t>Refusal of changes in the Service</w:t>
      </w:r>
      <w:r w:rsidRPr="002B78CD">
        <w:rPr>
          <w:sz w:val="22"/>
          <w:szCs w:val="22"/>
        </w:rPr>
        <w:t xml:space="preserve">”; </w:t>
      </w:r>
      <w:r w:rsidRPr="002B78CD">
        <w:rPr>
          <w:b/>
          <w:sz w:val="22"/>
          <w:szCs w:val="22"/>
        </w:rPr>
        <w:t>2.9</w:t>
      </w:r>
      <w:r w:rsidRPr="002B78CD">
        <w:rPr>
          <w:sz w:val="22"/>
          <w:szCs w:val="22"/>
        </w:rPr>
        <w:t xml:space="preserve"> “</w:t>
      </w:r>
      <w:r w:rsidRPr="002B78CD">
        <w:rPr>
          <w:i/>
          <w:sz w:val="22"/>
          <w:szCs w:val="22"/>
        </w:rPr>
        <w:t>Performance of the Redelivery Service</w:t>
      </w:r>
      <w:r w:rsidRPr="002B78CD">
        <w:rPr>
          <w:sz w:val="22"/>
          <w:szCs w:val="22"/>
        </w:rPr>
        <w:t xml:space="preserve">”; </w:t>
      </w:r>
      <w:r w:rsidRPr="002B78CD">
        <w:rPr>
          <w:b/>
          <w:sz w:val="22"/>
          <w:szCs w:val="22"/>
        </w:rPr>
        <w:t>3</w:t>
      </w:r>
      <w:r w:rsidRPr="002B78CD">
        <w:rPr>
          <w:sz w:val="22"/>
          <w:szCs w:val="22"/>
        </w:rPr>
        <w:t xml:space="preserve"> “</w:t>
      </w:r>
      <w:r w:rsidRPr="002B78CD">
        <w:rPr>
          <w:i/>
          <w:sz w:val="22"/>
          <w:szCs w:val="22"/>
        </w:rPr>
        <w:t>Withdrawal from and duration of capacity agreements</w:t>
      </w:r>
      <w:r w:rsidRPr="002B78CD">
        <w:rPr>
          <w:sz w:val="22"/>
          <w:szCs w:val="22"/>
        </w:rPr>
        <w:t xml:space="preserve">; </w:t>
      </w:r>
      <w:r w:rsidRPr="002B78CD">
        <w:rPr>
          <w:b/>
          <w:sz w:val="22"/>
          <w:szCs w:val="22"/>
        </w:rPr>
        <w:t>4</w:t>
      </w:r>
      <w:r w:rsidRPr="002B78CD">
        <w:rPr>
          <w:sz w:val="22"/>
          <w:szCs w:val="22"/>
        </w:rPr>
        <w:t xml:space="preserve"> “Title”; </w:t>
      </w:r>
      <w:r w:rsidRPr="002B78CD">
        <w:rPr>
          <w:b/>
          <w:sz w:val="22"/>
          <w:szCs w:val="22"/>
        </w:rPr>
        <w:t>5.1.3</w:t>
      </w:r>
      <w:r w:rsidRPr="002B78CD">
        <w:rPr>
          <w:sz w:val="22"/>
          <w:szCs w:val="22"/>
        </w:rPr>
        <w:t xml:space="preserve"> “</w:t>
      </w:r>
      <w:r w:rsidRPr="002B78CD">
        <w:rPr>
          <w:i/>
          <w:sz w:val="22"/>
          <w:szCs w:val="22"/>
        </w:rPr>
        <w:t>Determination of quantity and quality of LNG at the Delivery Point</w:t>
      </w:r>
      <w:r w:rsidRPr="002B78CD">
        <w:rPr>
          <w:sz w:val="22"/>
          <w:szCs w:val="22"/>
        </w:rPr>
        <w:t xml:space="preserve">”; </w:t>
      </w:r>
      <w:r w:rsidRPr="002B78CD">
        <w:rPr>
          <w:b/>
          <w:sz w:val="22"/>
          <w:szCs w:val="22"/>
        </w:rPr>
        <w:t>5.1.4</w:t>
      </w:r>
      <w:r w:rsidRPr="002B78CD">
        <w:rPr>
          <w:sz w:val="22"/>
          <w:szCs w:val="22"/>
        </w:rPr>
        <w:t xml:space="preserve"> “</w:t>
      </w:r>
      <w:r w:rsidRPr="002B78CD">
        <w:rPr>
          <w:i/>
          <w:sz w:val="22"/>
          <w:szCs w:val="22"/>
        </w:rPr>
        <w:t>Adjustment of within spec LNG</w:t>
      </w:r>
      <w:r w:rsidRPr="002B78CD">
        <w:rPr>
          <w:sz w:val="22"/>
          <w:szCs w:val="22"/>
        </w:rPr>
        <w:t xml:space="preserve">”; </w:t>
      </w:r>
      <w:r w:rsidRPr="002B78CD">
        <w:rPr>
          <w:b/>
          <w:sz w:val="22"/>
          <w:szCs w:val="22"/>
        </w:rPr>
        <w:t>5.1.7</w:t>
      </w:r>
      <w:r w:rsidRPr="002B78CD">
        <w:rPr>
          <w:sz w:val="22"/>
          <w:szCs w:val="22"/>
        </w:rPr>
        <w:t xml:space="preserve"> “</w:t>
      </w:r>
      <w:r w:rsidRPr="002B78CD">
        <w:rPr>
          <w:i/>
          <w:sz w:val="22"/>
          <w:szCs w:val="22"/>
        </w:rPr>
        <w:t>User’s liability in relation to Unloading of Off-Spec LNG</w:t>
      </w:r>
      <w:r w:rsidRPr="002B78CD">
        <w:rPr>
          <w:sz w:val="22"/>
          <w:szCs w:val="22"/>
        </w:rPr>
        <w:t xml:space="preserve">”; </w:t>
      </w:r>
      <w:r w:rsidRPr="002B78CD">
        <w:rPr>
          <w:b/>
          <w:sz w:val="22"/>
          <w:szCs w:val="22"/>
        </w:rPr>
        <w:t>6.1</w:t>
      </w:r>
      <w:r w:rsidRPr="002B78CD">
        <w:rPr>
          <w:sz w:val="22"/>
          <w:szCs w:val="22"/>
        </w:rPr>
        <w:t xml:space="preserve"> “</w:t>
      </w:r>
      <w:r w:rsidRPr="002B78CD">
        <w:rPr>
          <w:i/>
          <w:sz w:val="22"/>
          <w:szCs w:val="22"/>
        </w:rPr>
        <w:t>Redelivery of Gas</w:t>
      </w:r>
      <w:r w:rsidRPr="002B78CD">
        <w:rPr>
          <w:sz w:val="22"/>
          <w:szCs w:val="22"/>
        </w:rPr>
        <w:t xml:space="preserve">”; </w:t>
      </w:r>
      <w:r w:rsidRPr="002B78CD">
        <w:rPr>
          <w:b/>
          <w:sz w:val="22"/>
          <w:szCs w:val="22"/>
        </w:rPr>
        <w:t>6.2</w:t>
      </w:r>
      <w:r w:rsidRPr="002B78CD">
        <w:rPr>
          <w:sz w:val="22"/>
          <w:szCs w:val="22"/>
        </w:rPr>
        <w:t xml:space="preserve"> “Losses and Consumption of the Regasification chain”; </w:t>
      </w:r>
      <w:r w:rsidRPr="002B78CD">
        <w:rPr>
          <w:b/>
          <w:sz w:val="22"/>
          <w:szCs w:val="22"/>
        </w:rPr>
        <w:t>7</w:t>
      </w:r>
      <w:r w:rsidRPr="002B78CD">
        <w:rPr>
          <w:sz w:val="22"/>
          <w:szCs w:val="22"/>
        </w:rPr>
        <w:t xml:space="preserve"> “</w:t>
      </w:r>
      <w:r w:rsidRPr="002B78CD">
        <w:rPr>
          <w:i/>
          <w:sz w:val="22"/>
          <w:szCs w:val="22"/>
        </w:rPr>
        <w:t>Force Majeure</w:t>
      </w:r>
      <w:r w:rsidRPr="002B78CD">
        <w:rPr>
          <w:sz w:val="22"/>
          <w:szCs w:val="22"/>
        </w:rPr>
        <w:t xml:space="preserve">”; </w:t>
      </w:r>
      <w:r w:rsidRPr="002B78CD">
        <w:rPr>
          <w:b/>
          <w:sz w:val="22"/>
          <w:szCs w:val="22"/>
        </w:rPr>
        <w:t>8.1</w:t>
      </w:r>
      <w:r w:rsidRPr="002B78CD">
        <w:rPr>
          <w:sz w:val="22"/>
          <w:szCs w:val="22"/>
        </w:rPr>
        <w:t xml:space="preserve"> “</w:t>
      </w:r>
      <w:r w:rsidRPr="002B78CD">
        <w:rPr>
          <w:i/>
          <w:sz w:val="22"/>
          <w:szCs w:val="22"/>
        </w:rPr>
        <w:t>Invoicing by the Operating Company</w:t>
      </w:r>
      <w:r w:rsidRPr="002B78CD">
        <w:rPr>
          <w:sz w:val="22"/>
          <w:szCs w:val="22"/>
        </w:rPr>
        <w:t xml:space="preserve">”; </w:t>
      </w:r>
      <w:r w:rsidRPr="002B78CD">
        <w:rPr>
          <w:b/>
          <w:sz w:val="22"/>
          <w:szCs w:val="22"/>
        </w:rPr>
        <w:t>8.4</w:t>
      </w:r>
      <w:r w:rsidRPr="002B78CD">
        <w:rPr>
          <w:sz w:val="22"/>
          <w:szCs w:val="22"/>
        </w:rPr>
        <w:t xml:space="preserve"> “</w:t>
      </w:r>
      <w:r w:rsidRPr="002B78CD">
        <w:rPr>
          <w:i/>
          <w:sz w:val="22"/>
          <w:szCs w:val="22"/>
        </w:rPr>
        <w:t>Suspension of payment of invoices</w:t>
      </w:r>
      <w:r w:rsidRPr="002B78CD">
        <w:rPr>
          <w:sz w:val="22"/>
          <w:szCs w:val="22"/>
        </w:rPr>
        <w:t xml:space="preserve">”; </w:t>
      </w:r>
      <w:r w:rsidRPr="002B78CD">
        <w:rPr>
          <w:b/>
          <w:sz w:val="22"/>
          <w:szCs w:val="22"/>
        </w:rPr>
        <w:t>8.6</w:t>
      </w:r>
      <w:r w:rsidRPr="002B78CD">
        <w:rPr>
          <w:sz w:val="22"/>
          <w:szCs w:val="22"/>
        </w:rPr>
        <w:t xml:space="preserve"> “</w:t>
      </w:r>
      <w:r w:rsidRPr="002B78CD">
        <w:rPr>
          <w:i/>
          <w:sz w:val="22"/>
          <w:szCs w:val="22"/>
        </w:rPr>
        <w:t>Adjustment of Errors</w:t>
      </w:r>
      <w:r w:rsidRPr="002B78CD">
        <w:rPr>
          <w:sz w:val="22"/>
          <w:szCs w:val="22"/>
        </w:rPr>
        <w:t xml:space="preserve">”; </w:t>
      </w:r>
      <w:r w:rsidRPr="002B78CD">
        <w:rPr>
          <w:b/>
          <w:sz w:val="22"/>
          <w:szCs w:val="22"/>
        </w:rPr>
        <w:t>8.7</w:t>
      </w:r>
      <w:r w:rsidRPr="002B78CD">
        <w:rPr>
          <w:sz w:val="22"/>
          <w:szCs w:val="22"/>
        </w:rPr>
        <w:t xml:space="preserve"> “</w:t>
      </w:r>
      <w:r w:rsidRPr="002B78CD">
        <w:rPr>
          <w:i/>
          <w:sz w:val="22"/>
          <w:szCs w:val="22"/>
        </w:rPr>
        <w:t>No deduction of taxes; liability for Maritime Charges</w:t>
      </w:r>
      <w:r w:rsidRPr="002B78CD">
        <w:rPr>
          <w:sz w:val="22"/>
          <w:szCs w:val="22"/>
        </w:rPr>
        <w:t xml:space="preserve">”; </w:t>
      </w:r>
      <w:r w:rsidRPr="002B78CD">
        <w:rPr>
          <w:b/>
          <w:sz w:val="22"/>
          <w:szCs w:val="22"/>
        </w:rPr>
        <w:t>8.10</w:t>
      </w:r>
      <w:r w:rsidRPr="002B78CD">
        <w:rPr>
          <w:sz w:val="22"/>
          <w:szCs w:val="22"/>
        </w:rPr>
        <w:t xml:space="preserve"> “</w:t>
      </w:r>
      <w:r w:rsidRPr="002B78CD">
        <w:rPr>
          <w:i/>
          <w:sz w:val="22"/>
          <w:szCs w:val="22"/>
        </w:rPr>
        <w:t>Capacity Make-Up</w:t>
      </w:r>
      <w:r w:rsidRPr="002B78CD">
        <w:rPr>
          <w:sz w:val="22"/>
          <w:szCs w:val="22"/>
        </w:rPr>
        <w:t xml:space="preserve">”; </w:t>
      </w:r>
      <w:r w:rsidRPr="002B78CD">
        <w:rPr>
          <w:b/>
          <w:sz w:val="22"/>
          <w:szCs w:val="22"/>
        </w:rPr>
        <w:t>8.11</w:t>
      </w:r>
      <w:r w:rsidRPr="002B78CD">
        <w:rPr>
          <w:sz w:val="22"/>
          <w:szCs w:val="22"/>
        </w:rPr>
        <w:t xml:space="preserve"> “</w:t>
      </w:r>
      <w:r w:rsidRPr="002B78CD">
        <w:rPr>
          <w:i/>
          <w:sz w:val="22"/>
          <w:szCs w:val="22"/>
        </w:rPr>
        <w:t>Charges for scheduling variance applicable to Continuous Users</w:t>
      </w:r>
      <w:r w:rsidRPr="002B78CD">
        <w:rPr>
          <w:sz w:val="22"/>
          <w:szCs w:val="22"/>
        </w:rPr>
        <w:t xml:space="preserve">”; </w:t>
      </w:r>
      <w:r w:rsidRPr="002B78CD">
        <w:rPr>
          <w:b/>
          <w:sz w:val="22"/>
          <w:szCs w:val="22"/>
        </w:rPr>
        <w:t>8.12</w:t>
      </w:r>
      <w:r w:rsidRPr="002B78CD">
        <w:rPr>
          <w:sz w:val="22"/>
          <w:szCs w:val="22"/>
        </w:rPr>
        <w:t xml:space="preserve"> “</w:t>
      </w:r>
      <w:r w:rsidRPr="002B78CD">
        <w:rPr>
          <w:i/>
          <w:sz w:val="22"/>
          <w:szCs w:val="22"/>
        </w:rPr>
        <w:t>Charges for scheduling variance applicable to Spot Capacity</w:t>
      </w:r>
      <w:r w:rsidRPr="002B78CD">
        <w:rPr>
          <w:sz w:val="22"/>
          <w:szCs w:val="22"/>
        </w:rPr>
        <w:t xml:space="preserve">”; </w:t>
      </w:r>
      <w:r w:rsidRPr="002B78CD">
        <w:rPr>
          <w:b/>
          <w:sz w:val="22"/>
          <w:szCs w:val="22"/>
        </w:rPr>
        <w:t>9</w:t>
      </w:r>
      <w:r w:rsidRPr="002B78CD">
        <w:rPr>
          <w:sz w:val="22"/>
          <w:szCs w:val="22"/>
        </w:rPr>
        <w:t xml:space="preserve"> “</w:t>
      </w:r>
      <w:r w:rsidRPr="002B78CD">
        <w:rPr>
          <w:i/>
          <w:sz w:val="22"/>
          <w:szCs w:val="22"/>
        </w:rPr>
        <w:t>Taxes, duties and charges on the Gas</w:t>
      </w:r>
      <w:r w:rsidRPr="002B78CD">
        <w:rPr>
          <w:sz w:val="22"/>
          <w:szCs w:val="22"/>
        </w:rPr>
        <w:t xml:space="preserve">”; </w:t>
      </w:r>
      <w:r w:rsidRPr="002B78CD">
        <w:rPr>
          <w:b/>
          <w:sz w:val="22"/>
          <w:szCs w:val="22"/>
        </w:rPr>
        <w:t>12</w:t>
      </w:r>
      <w:r w:rsidRPr="002B78CD">
        <w:rPr>
          <w:sz w:val="22"/>
          <w:szCs w:val="22"/>
        </w:rPr>
        <w:t xml:space="preserve"> “</w:t>
      </w:r>
      <w:r w:rsidRPr="002B78CD">
        <w:rPr>
          <w:i/>
          <w:sz w:val="22"/>
          <w:szCs w:val="22"/>
        </w:rPr>
        <w:t>Exchanges of Subscribed Capacity</w:t>
      </w:r>
      <w:r w:rsidRPr="002B78CD">
        <w:rPr>
          <w:sz w:val="22"/>
          <w:szCs w:val="22"/>
        </w:rPr>
        <w:t xml:space="preserve">”; </w:t>
      </w:r>
      <w:r w:rsidRPr="002B78CD">
        <w:rPr>
          <w:b/>
          <w:sz w:val="22"/>
          <w:szCs w:val="22"/>
        </w:rPr>
        <w:t>13</w:t>
      </w:r>
      <w:r w:rsidRPr="002B78CD">
        <w:rPr>
          <w:sz w:val="22"/>
          <w:szCs w:val="22"/>
        </w:rPr>
        <w:t xml:space="preserve"> “</w:t>
      </w:r>
      <w:r w:rsidRPr="002B78CD">
        <w:rPr>
          <w:i/>
          <w:sz w:val="22"/>
          <w:szCs w:val="22"/>
        </w:rPr>
        <w:t>Termination</w:t>
      </w:r>
      <w:r w:rsidRPr="002B78CD">
        <w:rPr>
          <w:sz w:val="22"/>
          <w:szCs w:val="22"/>
        </w:rPr>
        <w:t xml:space="preserve">”; </w:t>
      </w:r>
      <w:r w:rsidRPr="002B78CD">
        <w:rPr>
          <w:b/>
          <w:sz w:val="22"/>
          <w:szCs w:val="22"/>
        </w:rPr>
        <w:t>14</w:t>
      </w:r>
      <w:r w:rsidRPr="002B78CD">
        <w:rPr>
          <w:sz w:val="22"/>
          <w:szCs w:val="22"/>
        </w:rPr>
        <w:t xml:space="preserve"> “</w:t>
      </w:r>
      <w:r w:rsidRPr="002B78CD">
        <w:rPr>
          <w:i/>
          <w:sz w:val="22"/>
          <w:szCs w:val="22"/>
        </w:rPr>
        <w:t>Liability</w:t>
      </w:r>
      <w:r w:rsidRPr="002B78CD">
        <w:rPr>
          <w:sz w:val="22"/>
          <w:szCs w:val="22"/>
        </w:rPr>
        <w:t xml:space="preserve">”; </w:t>
      </w:r>
      <w:r w:rsidRPr="002B78CD">
        <w:rPr>
          <w:b/>
          <w:sz w:val="22"/>
          <w:szCs w:val="22"/>
        </w:rPr>
        <w:t>15</w:t>
      </w:r>
      <w:r w:rsidRPr="002B78CD">
        <w:rPr>
          <w:sz w:val="22"/>
          <w:szCs w:val="22"/>
        </w:rPr>
        <w:t xml:space="preserve"> “</w:t>
      </w:r>
      <w:r w:rsidRPr="002B78CD">
        <w:rPr>
          <w:i/>
          <w:sz w:val="22"/>
          <w:szCs w:val="22"/>
        </w:rPr>
        <w:t>Complaints</w:t>
      </w:r>
      <w:r w:rsidRPr="002B78CD">
        <w:rPr>
          <w:sz w:val="22"/>
          <w:szCs w:val="22"/>
        </w:rPr>
        <w:t xml:space="preserve">”; </w:t>
      </w:r>
      <w:r w:rsidRPr="002B78CD">
        <w:rPr>
          <w:b/>
          <w:sz w:val="22"/>
          <w:szCs w:val="22"/>
        </w:rPr>
        <w:t>19</w:t>
      </w:r>
      <w:r w:rsidRPr="002B78CD">
        <w:rPr>
          <w:sz w:val="22"/>
          <w:szCs w:val="22"/>
        </w:rPr>
        <w:t xml:space="preserve"> “</w:t>
      </w:r>
      <w:r w:rsidRPr="002B78CD">
        <w:rPr>
          <w:i/>
          <w:sz w:val="22"/>
          <w:szCs w:val="22"/>
        </w:rPr>
        <w:t>Enforcement Costs</w:t>
      </w:r>
      <w:r w:rsidRPr="002B78CD">
        <w:rPr>
          <w:sz w:val="22"/>
          <w:szCs w:val="22"/>
        </w:rPr>
        <w:t xml:space="preserve">”; </w:t>
      </w:r>
      <w:r w:rsidRPr="002B78CD">
        <w:rPr>
          <w:b/>
          <w:sz w:val="22"/>
          <w:szCs w:val="22"/>
        </w:rPr>
        <w:t>20</w:t>
      </w:r>
      <w:r w:rsidRPr="002B78CD">
        <w:rPr>
          <w:sz w:val="22"/>
          <w:szCs w:val="22"/>
        </w:rPr>
        <w:t xml:space="preserve"> “</w:t>
      </w:r>
      <w:r w:rsidRPr="002B78CD">
        <w:rPr>
          <w:i/>
          <w:sz w:val="22"/>
          <w:szCs w:val="22"/>
        </w:rPr>
        <w:t>Waiver of immunity</w:t>
      </w:r>
      <w:r w:rsidRPr="002B78CD">
        <w:rPr>
          <w:sz w:val="22"/>
          <w:szCs w:val="22"/>
        </w:rPr>
        <w:t>”.</w:t>
      </w:r>
    </w:p>
    <w:p w14:paraId="5B948C59" w14:textId="77777777" w:rsidR="00ED40B5" w:rsidRPr="002B78CD" w:rsidRDefault="00ED40B5" w:rsidP="00ED40B5">
      <w:pPr>
        <w:ind w:left="709"/>
        <w:jc w:val="both"/>
        <w:rPr>
          <w:sz w:val="22"/>
          <w:szCs w:val="22"/>
        </w:rPr>
      </w:pPr>
    </w:p>
    <w:p w14:paraId="6CD90FEA" w14:textId="77777777" w:rsidR="00ED40B5" w:rsidRPr="00405103" w:rsidRDefault="00ED40B5" w:rsidP="00ED40B5">
      <w:pPr>
        <w:ind w:left="709"/>
        <w:jc w:val="both"/>
        <w:rPr>
          <w:sz w:val="22"/>
          <w:szCs w:val="22"/>
          <w:u w:val="single"/>
        </w:rPr>
      </w:pPr>
      <w:r w:rsidRPr="002B78CD">
        <w:rPr>
          <w:sz w:val="22"/>
          <w:szCs w:val="22"/>
          <w:u w:val="single"/>
        </w:rPr>
        <w:lastRenderedPageBreak/>
        <w:t>CHAPTER IV:</w:t>
      </w:r>
    </w:p>
    <w:p w14:paraId="5E447F30" w14:textId="77777777" w:rsidR="00ED40B5" w:rsidRPr="00405103" w:rsidRDefault="00ED40B5" w:rsidP="00ED40B5">
      <w:pPr>
        <w:spacing w:before="120"/>
        <w:ind w:left="709"/>
        <w:jc w:val="both"/>
        <w:rPr>
          <w:sz w:val="22"/>
          <w:szCs w:val="22"/>
        </w:rPr>
      </w:pPr>
      <w:r w:rsidRPr="005717D9">
        <w:rPr>
          <w:b/>
          <w:sz w:val="22"/>
          <w:szCs w:val="22"/>
        </w:rPr>
        <w:t>1.3</w:t>
      </w:r>
      <w:r w:rsidRPr="00405103">
        <w:rPr>
          <w:sz w:val="22"/>
          <w:szCs w:val="22"/>
        </w:rPr>
        <w:t xml:space="preserve"> </w:t>
      </w:r>
      <w:r>
        <w:rPr>
          <w:sz w:val="22"/>
          <w:szCs w:val="22"/>
        </w:rPr>
        <w:t>“</w:t>
      </w:r>
      <w:r w:rsidRPr="005717D9">
        <w:rPr>
          <w:i/>
          <w:sz w:val="22"/>
          <w:szCs w:val="22"/>
        </w:rPr>
        <w:t>Rejection of LNG Tankers</w:t>
      </w:r>
      <w:r>
        <w:rPr>
          <w:sz w:val="22"/>
          <w:szCs w:val="22"/>
        </w:rPr>
        <w:t>”</w:t>
      </w:r>
      <w:r w:rsidRPr="00405103">
        <w:rPr>
          <w:sz w:val="22"/>
          <w:szCs w:val="22"/>
        </w:rPr>
        <w:t>;</w:t>
      </w:r>
      <w:r>
        <w:rPr>
          <w:sz w:val="22"/>
          <w:szCs w:val="22"/>
        </w:rPr>
        <w:t xml:space="preserve"> </w:t>
      </w:r>
      <w:r w:rsidRPr="005717D9">
        <w:rPr>
          <w:b/>
          <w:sz w:val="22"/>
          <w:szCs w:val="22"/>
        </w:rPr>
        <w:t>1.4.2</w:t>
      </w:r>
      <w:r w:rsidRPr="00405103">
        <w:rPr>
          <w:sz w:val="22"/>
          <w:szCs w:val="22"/>
        </w:rPr>
        <w:t xml:space="preserve"> </w:t>
      </w:r>
      <w:r>
        <w:rPr>
          <w:sz w:val="22"/>
          <w:szCs w:val="22"/>
        </w:rPr>
        <w:t>“</w:t>
      </w:r>
      <w:r w:rsidRPr="005717D9">
        <w:rPr>
          <w:i/>
          <w:sz w:val="22"/>
          <w:szCs w:val="22"/>
        </w:rPr>
        <w:t>Failure to make necessary modifications</w:t>
      </w:r>
      <w:r>
        <w:rPr>
          <w:sz w:val="22"/>
          <w:szCs w:val="22"/>
        </w:rPr>
        <w:t>”</w:t>
      </w:r>
      <w:r w:rsidRPr="00405103">
        <w:rPr>
          <w:sz w:val="22"/>
          <w:szCs w:val="22"/>
        </w:rPr>
        <w:t>;</w:t>
      </w:r>
      <w:r>
        <w:rPr>
          <w:sz w:val="22"/>
          <w:szCs w:val="22"/>
        </w:rPr>
        <w:t xml:space="preserve"> </w:t>
      </w:r>
      <w:r w:rsidRPr="00650BBD">
        <w:rPr>
          <w:b/>
          <w:sz w:val="22"/>
          <w:szCs w:val="22"/>
        </w:rPr>
        <w:t>3.6</w:t>
      </w:r>
      <w:r>
        <w:rPr>
          <w:sz w:val="22"/>
          <w:szCs w:val="22"/>
        </w:rPr>
        <w:t xml:space="preserve"> “</w:t>
      </w:r>
      <w:r>
        <w:rPr>
          <w:i/>
          <w:sz w:val="22"/>
          <w:szCs w:val="22"/>
        </w:rPr>
        <w:t>Re-Assign</w:t>
      </w:r>
      <w:r w:rsidRPr="00650BBD">
        <w:rPr>
          <w:i/>
          <w:sz w:val="22"/>
          <w:szCs w:val="22"/>
        </w:rPr>
        <w:t>ment of Berth</w:t>
      </w:r>
      <w:r>
        <w:rPr>
          <w:sz w:val="22"/>
          <w:szCs w:val="22"/>
        </w:rPr>
        <w:t xml:space="preserve">”; </w:t>
      </w:r>
      <w:r w:rsidRPr="005717D9">
        <w:rPr>
          <w:b/>
          <w:sz w:val="22"/>
          <w:szCs w:val="22"/>
        </w:rPr>
        <w:t>3.8.2</w:t>
      </w:r>
      <w:r w:rsidRPr="00405103">
        <w:rPr>
          <w:sz w:val="22"/>
          <w:szCs w:val="22"/>
        </w:rPr>
        <w:t xml:space="preserve"> </w:t>
      </w:r>
      <w:r>
        <w:rPr>
          <w:sz w:val="22"/>
          <w:szCs w:val="22"/>
        </w:rPr>
        <w:t>“</w:t>
      </w:r>
      <w:r w:rsidRPr="005717D9">
        <w:rPr>
          <w:i/>
          <w:sz w:val="22"/>
          <w:szCs w:val="22"/>
        </w:rPr>
        <w:t>Demurrage</w:t>
      </w:r>
      <w:r>
        <w:rPr>
          <w:sz w:val="22"/>
          <w:szCs w:val="22"/>
        </w:rPr>
        <w:t>”</w:t>
      </w:r>
      <w:r w:rsidRPr="00405103">
        <w:rPr>
          <w:sz w:val="22"/>
          <w:szCs w:val="22"/>
        </w:rPr>
        <w:t>;</w:t>
      </w:r>
      <w:r>
        <w:rPr>
          <w:sz w:val="22"/>
          <w:szCs w:val="22"/>
        </w:rPr>
        <w:t xml:space="preserve"> </w:t>
      </w:r>
      <w:r w:rsidRPr="005717D9">
        <w:rPr>
          <w:b/>
          <w:sz w:val="22"/>
          <w:szCs w:val="22"/>
        </w:rPr>
        <w:t>3.9</w:t>
      </w:r>
      <w:r w:rsidRPr="00405103">
        <w:rPr>
          <w:sz w:val="22"/>
          <w:szCs w:val="22"/>
        </w:rPr>
        <w:t xml:space="preserve"> </w:t>
      </w:r>
      <w:r>
        <w:rPr>
          <w:sz w:val="22"/>
          <w:szCs w:val="22"/>
        </w:rPr>
        <w:t>“</w:t>
      </w:r>
      <w:r w:rsidRPr="005717D9">
        <w:rPr>
          <w:i/>
          <w:sz w:val="22"/>
          <w:szCs w:val="22"/>
        </w:rPr>
        <w:t>Excess of boil-off</w:t>
      </w:r>
      <w:r>
        <w:rPr>
          <w:sz w:val="22"/>
          <w:szCs w:val="22"/>
        </w:rPr>
        <w:t>”</w:t>
      </w:r>
      <w:r w:rsidRPr="00405103">
        <w:rPr>
          <w:sz w:val="22"/>
          <w:szCs w:val="22"/>
        </w:rPr>
        <w:t>.</w:t>
      </w:r>
    </w:p>
    <w:p w14:paraId="04D045F5" w14:textId="77777777" w:rsidR="00ED40B5" w:rsidRPr="00405103" w:rsidRDefault="00ED40B5" w:rsidP="00ED40B5">
      <w:pPr>
        <w:ind w:left="709"/>
        <w:jc w:val="both"/>
        <w:rPr>
          <w:sz w:val="22"/>
          <w:szCs w:val="22"/>
        </w:rPr>
      </w:pPr>
    </w:p>
    <w:p w14:paraId="45188299" w14:textId="77777777" w:rsidR="00ED40B5" w:rsidRPr="00405103" w:rsidRDefault="00ED40B5" w:rsidP="00ED40B5">
      <w:pPr>
        <w:ind w:left="709"/>
        <w:jc w:val="both"/>
        <w:rPr>
          <w:sz w:val="22"/>
          <w:szCs w:val="22"/>
          <w:u w:val="single"/>
        </w:rPr>
      </w:pPr>
      <w:r w:rsidRPr="00405103">
        <w:rPr>
          <w:sz w:val="22"/>
          <w:szCs w:val="22"/>
          <w:u w:val="single"/>
        </w:rPr>
        <w:t>CHAPTER VI:</w:t>
      </w:r>
    </w:p>
    <w:p w14:paraId="58570311" w14:textId="77777777" w:rsidR="00ED40B5" w:rsidRPr="00405103" w:rsidRDefault="00ED40B5" w:rsidP="00ED40B5">
      <w:pPr>
        <w:spacing w:before="120"/>
        <w:ind w:left="709"/>
        <w:jc w:val="both"/>
        <w:rPr>
          <w:sz w:val="22"/>
          <w:szCs w:val="22"/>
        </w:rPr>
      </w:pPr>
      <w:r>
        <w:rPr>
          <w:b/>
          <w:sz w:val="22"/>
          <w:szCs w:val="22"/>
        </w:rPr>
        <w:t xml:space="preserve">2.1 </w:t>
      </w:r>
      <w:r>
        <w:rPr>
          <w:sz w:val="22"/>
          <w:szCs w:val="22"/>
        </w:rPr>
        <w:t>“</w:t>
      </w:r>
      <w:r w:rsidRPr="003C74B9">
        <w:rPr>
          <w:i/>
          <w:sz w:val="22"/>
          <w:szCs w:val="22"/>
        </w:rPr>
        <w:t xml:space="preserve">Subjects entitled to submit </w:t>
      </w:r>
      <w:r>
        <w:rPr>
          <w:i/>
          <w:sz w:val="22"/>
          <w:szCs w:val="22"/>
        </w:rPr>
        <w:t>request</w:t>
      </w:r>
      <w:r w:rsidRPr="003C74B9">
        <w:rPr>
          <w:i/>
          <w:sz w:val="22"/>
          <w:szCs w:val="22"/>
        </w:rPr>
        <w:t xml:space="preserve">s for the amendment of the </w:t>
      </w:r>
      <w:r w:rsidRPr="009C4FAF">
        <w:rPr>
          <w:i/>
          <w:sz w:val="22"/>
          <w:szCs w:val="22"/>
        </w:rPr>
        <w:t>Regasification</w:t>
      </w:r>
      <w:r w:rsidRPr="003C74B9">
        <w:rPr>
          <w:i/>
          <w:sz w:val="22"/>
          <w:szCs w:val="22"/>
        </w:rPr>
        <w:t xml:space="preserve"> Code</w:t>
      </w:r>
      <w:r>
        <w:rPr>
          <w:sz w:val="22"/>
          <w:szCs w:val="22"/>
        </w:rPr>
        <w:t xml:space="preserve">”; </w:t>
      </w:r>
      <w:r>
        <w:rPr>
          <w:b/>
          <w:sz w:val="22"/>
          <w:szCs w:val="22"/>
        </w:rPr>
        <w:t>2.2</w:t>
      </w:r>
      <w:r>
        <w:rPr>
          <w:sz w:val="22"/>
          <w:szCs w:val="22"/>
        </w:rPr>
        <w:t xml:space="preserve"> “</w:t>
      </w:r>
      <w:r w:rsidRPr="003C74B9">
        <w:rPr>
          <w:i/>
          <w:sz w:val="22"/>
          <w:szCs w:val="22"/>
        </w:rPr>
        <w:t xml:space="preserve">Requirements for the admissibility of the </w:t>
      </w:r>
      <w:r>
        <w:rPr>
          <w:i/>
          <w:sz w:val="22"/>
          <w:szCs w:val="22"/>
        </w:rPr>
        <w:t>request</w:t>
      </w:r>
      <w:r w:rsidRPr="003C74B9">
        <w:rPr>
          <w:i/>
          <w:sz w:val="22"/>
          <w:szCs w:val="22"/>
        </w:rPr>
        <w:t>s</w:t>
      </w:r>
      <w:r>
        <w:rPr>
          <w:sz w:val="22"/>
          <w:szCs w:val="22"/>
        </w:rPr>
        <w:t xml:space="preserve">”; </w:t>
      </w:r>
      <w:r w:rsidRPr="003C74B9">
        <w:rPr>
          <w:b/>
          <w:sz w:val="22"/>
          <w:szCs w:val="22"/>
        </w:rPr>
        <w:t>2.</w:t>
      </w:r>
      <w:r>
        <w:rPr>
          <w:b/>
          <w:sz w:val="22"/>
          <w:szCs w:val="22"/>
        </w:rPr>
        <w:t>4</w:t>
      </w:r>
      <w:r>
        <w:rPr>
          <w:sz w:val="22"/>
          <w:szCs w:val="22"/>
        </w:rPr>
        <w:t xml:space="preserve"> “</w:t>
      </w:r>
      <w:r w:rsidRPr="003C74B9">
        <w:rPr>
          <w:i/>
          <w:sz w:val="22"/>
          <w:szCs w:val="22"/>
        </w:rPr>
        <w:t xml:space="preserve">Assessment of the </w:t>
      </w:r>
      <w:r>
        <w:rPr>
          <w:i/>
          <w:sz w:val="22"/>
          <w:szCs w:val="22"/>
        </w:rPr>
        <w:t>request</w:t>
      </w:r>
      <w:r>
        <w:rPr>
          <w:sz w:val="22"/>
          <w:szCs w:val="22"/>
        </w:rPr>
        <w:t>”</w:t>
      </w:r>
      <w:r w:rsidRPr="00405103">
        <w:rPr>
          <w:sz w:val="22"/>
          <w:szCs w:val="22"/>
        </w:rPr>
        <w:t>;</w:t>
      </w:r>
      <w:r>
        <w:rPr>
          <w:sz w:val="22"/>
          <w:szCs w:val="22"/>
        </w:rPr>
        <w:t xml:space="preserve"> </w:t>
      </w:r>
      <w:r w:rsidRPr="005717D9">
        <w:rPr>
          <w:b/>
          <w:sz w:val="22"/>
          <w:szCs w:val="22"/>
        </w:rPr>
        <w:t>4</w:t>
      </w:r>
      <w:r w:rsidRPr="00405103">
        <w:rPr>
          <w:sz w:val="22"/>
          <w:szCs w:val="22"/>
        </w:rPr>
        <w:t xml:space="preserve"> </w:t>
      </w:r>
      <w:r>
        <w:rPr>
          <w:sz w:val="22"/>
          <w:szCs w:val="22"/>
        </w:rPr>
        <w:t>“</w:t>
      </w:r>
      <w:r w:rsidRPr="005717D9">
        <w:rPr>
          <w:i/>
          <w:sz w:val="22"/>
          <w:szCs w:val="22"/>
        </w:rPr>
        <w:t>Communications</w:t>
      </w:r>
      <w:r>
        <w:rPr>
          <w:sz w:val="22"/>
          <w:szCs w:val="22"/>
        </w:rPr>
        <w:t>”.</w:t>
      </w:r>
    </w:p>
    <w:p w14:paraId="1D1D9B10" w14:textId="77777777" w:rsidR="00ED40B5" w:rsidRDefault="00ED40B5" w:rsidP="00ED40B5">
      <w:pPr>
        <w:ind w:left="709"/>
        <w:jc w:val="both"/>
        <w:rPr>
          <w:sz w:val="22"/>
          <w:szCs w:val="22"/>
        </w:rPr>
      </w:pPr>
    </w:p>
    <w:p w14:paraId="13D28045" w14:textId="77777777" w:rsidR="00ED40B5" w:rsidRPr="005717D9" w:rsidRDefault="00ED40B5" w:rsidP="00ED40B5">
      <w:pPr>
        <w:ind w:left="709"/>
        <w:jc w:val="both"/>
        <w:rPr>
          <w:sz w:val="22"/>
          <w:szCs w:val="22"/>
          <w:u w:val="single"/>
        </w:rPr>
      </w:pPr>
      <w:r>
        <w:rPr>
          <w:sz w:val="22"/>
          <w:szCs w:val="22"/>
          <w:u w:val="single"/>
        </w:rPr>
        <w:t>ANNEX (a):</w:t>
      </w:r>
    </w:p>
    <w:p w14:paraId="0D8F872C" w14:textId="77777777" w:rsidR="00ED40B5" w:rsidRPr="00405103" w:rsidRDefault="00ED40B5" w:rsidP="00ED40B5">
      <w:pPr>
        <w:ind w:left="709"/>
        <w:jc w:val="both"/>
        <w:rPr>
          <w:sz w:val="22"/>
          <w:szCs w:val="22"/>
        </w:rPr>
      </w:pPr>
    </w:p>
    <w:p w14:paraId="56416DFD" w14:textId="77777777" w:rsidR="00ED40B5" w:rsidRPr="005717D9" w:rsidRDefault="00ED40B5" w:rsidP="00ED40B5">
      <w:pPr>
        <w:ind w:left="709"/>
        <w:jc w:val="both"/>
        <w:rPr>
          <w:sz w:val="22"/>
          <w:szCs w:val="22"/>
          <w:u w:val="single"/>
        </w:rPr>
      </w:pPr>
      <w:r>
        <w:rPr>
          <w:sz w:val="22"/>
          <w:szCs w:val="22"/>
          <w:u w:val="single"/>
        </w:rPr>
        <w:t>Instructions for</w:t>
      </w:r>
      <w:r w:rsidRPr="00313D6C">
        <w:rPr>
          <w:sz w:val="22"/>
          <w:szCs w:val="22"/>
          <w:u w:val="single"/>
        </w:rPr>
        <w:t xml:space="preserve"> entering Non-Foundation and Spot Capacity Agreements</w:t>
      </w:r>
      <w:r>
        <w:rPr>
          <w:sz w:val="22"/>
          <w:szCs w:val="22"/>
        </w:rPr>
        <w:t xml:space="preserve">: </w:t>
      </w:r>
      <w:r w:rsidRPr="005717D9">
        <w:rPr>
          <w:b/>
          <w:sz w:val="22"/>
          <w:szCs w:val="22"/>
        </w:rPr>
        <w:t>2.3</w:t>
      </w:r>
      <w:r w:rsidRPr="00405103">
        <w:rPr>
          <w:sz w:val="22"/>
          <w:szCs w:val="22"/>
        </w:rPr>
        <w:t xml:space="preserve"> </w:t>
      </w:r>
      <w:r>
        <w:rPr>
          <w:sz w:val="22"/>
          <w:szCs w:val="22"/>
        </w:rPr>
        <w:t>“</w:t>
      </w:r>
      <w:r w:rsidRPr="005717D9">
        <w:rPr>
          <w:i/>
          <w:sz w:val="22"/>
          <w:szCs w:val="22"/>
        </w:rPr>
        <w:t>Irrevocability</w:t>
      </w:r>
      <w:r>
        <w:rPr>
          <w:sz w:val="22"/>
          <w:szCs w:val="22"/>
        </w:rPr>
        <w:t>”</w:t>
      </w:r>
      <w:r w:rsidRPr="00405103">
        <w:rPr>
          <w:sz w:val="22"/>
          <w:szCs w:val="22"/>
        </w:rPr>
        <w:t>;</w:t>
      </w:r>
      <w:r w:rsidRPr="005717D9">
        <w:rPr>
          <w:sz w:val="22"/>
          <w:szCs w:val="22"/>
        </w:rPr>
        <w:t xml:space="preserve"> </w:t>
      </w:r>
      <w:r w:rsidRPr="005717D9">
        <w:rPr>
          <w:b/>
          <w:sz w:val="22"/>
          <w:szCs w:val="22"/>
        </w:rPr>
        <w:t>4.2</w:t>
      </w:r>
      <w:r w:rsidRPr="00405103">
        <w:rPr>
          <w:sz w:val="22"/>
          <w:szCs w:val="22"/>
        </w:rPr>
        <w:t xml:space="preserve">; </w:t>
      </w:r>
      <w:proofErr w:type="gramStart"/>
      <w:r w:rsidRPr="005717D9">
        <w:rPr>
          <w:b/>
          <w:sz w:val="22"/>
          <w:szCs w:val="22"/>
        </w:rPr>
        <w:t>4.3</w:t>
      </w:r>
      <w:r>
        <w:rPr>
          <w:b/>
          <w:sz w:val="22"/>
          <w:szCs w:val="22"/>
        </w:rPr>
        <w:t>;</w:t>
      </w:r>
      <w:proofErr w:type="gramEnd"/>
    </w:p>
    <w:p w14:paraId="272555EF" w14:textId="77777777" w:rsidR="00ED40B5" w:rsidRPr="00405103" w:rsidRDefault="00ED40B5" w:rsidP="00ED40B5">
      <w:pPr>
        <w:ind w:left="709"/>
        <w:jc w:val="both"/>
        <w:rPr>
          <w:sz w:val="22"/>
          <w:szCs w:val="22"/>
        </w:rPr>
      </w:pPr>
    </w:p>
    <w:p w14:paraId="5E5E6F30" w14:textId="77777777" w:rsidR="00ED40B5" w:rsidRPr="00313D6C" w:rsidRDefault="00ED40B5" w:rsidP="00ED40B5">
      <w:pPr>
        <w:ind w:left="709"/>
        <w:jc w:val="both"/>
        <w:rPr>
          <w:sz w:val="22"/>
          <w:szCs w:val="22"/>
          <w:u w:val="single"/>
        </w:rPr>
      </w:pPr>
      <w:r w:rsidRPr="00405103">
        <w:rPr>
          <w:sz w:val="22"/>
          <w:szCs w:val="22"/>
          <w:u w:val="single"/>
        </w:rPr>
        <w:t>Part I</w:t>
      </w:r>
      <w:r>
        <w:rPr>
          <w:sz w:val="22"/>
          <w:szCs w:val="22"/>
          <w:u w:val="single"/>
        </w:rPr>
        <w:t xml:space="preserve"> – Form of Access Request for all Capacity Agreements other than for any Foundation Capacity Agreement</w:t>
      </w:r>
      <w:r w:rsidRPr="00313D6C">
        <w:rPr>
          <w:sz w:val="22"/>
          <w:szCs w:val="22"/>
        </w:rPr>
        <w:t xml:space="preserve">: </w:t>
      </w:r>
      <w:r w:rsidRPr="007541D0">
        <w:rPr>
          <w:b/>
          <w:sz w:val="22"/>
          <w:szCs w:val="22"/>
        </w:rPr>
        <w:t>paragraph after letter (g</w:t>
      </w:r>
      <w:proofErr w:type="gramStart"/>
      <w:r w:rsidRPr="007541D0">
        <w:rPr>
          <w:b/>
          <w:sz w:val="22"/>
          <w:szCs w:val="22"/>
        </w:rPr>
        <w:t>)</w:t>
      </w:r>
      <w:r>
        <w:rPr>
          <w:sz w:val="22"/>
          <w:szCs w:val="22"/>
        </w:rPr>
        <w:t>;</w:t>
      </w:r>
      <w:proofErr w:type="gramEnd"/>
    </w:p>
    <w:p w14:paraId="67DC7B92" w14:textId="77777777" w:rsidR="00ED40B5" w:rsidRPr="00405103" w:rsidRDefault="00ED40B5" w:rsidP="00ED40B5">
      <w:pPr>
        <w:ind w:left="709"/>
        <w:jc w:val="both"/>
        <w:rPr>
          <w:sz w:val="22"/>
          <w:szCs w:val="22"/>
        </w:rPr>
      </w:pPr>
    </w:p>
    <w:p w14:paraId="107D88E7" w14:textId="77777777" w:rsidR="00ED40B5" w:rsidRPr="00313D6C" w:rsidRDefault="00ED40B5" w:rsidP="00ED40B5">
      <w:pPr>
        <w:ind w:left="709"/>
        <w:jc w:val="both"/>
        <w:rPr>
          <w:sz w:val="22"/>
          <w:szCs w:val="22"/>
          <w:u w:val="single"/>
        </w:rPr>
      </w:pPr>
      <w:r w:rsidRPr="00405103">
        <w:rPr>
          <w:sz w:val="22"/>
          <w:szCs w:val="22"/>
          <w:u w:val="single"/>
        </w:rPr>
        <w:t>Part II</w:t>
      </w:r>
      <w:r>
        <w:rPr>
          <w:sz w:val="22"/>
          <w:szCs w:val="22"/>
          <w:u w:val="single"/>
        </w:rPr>
        <w:t xml:space="preserve"> – Form Access Request for Capacity Make-up</w:t>
      </w:r>
      <w:r w:rsidRPr="00301DDD">
        <w:rPr>
          <w:sz w:val="22"/>
          <w:szCs w:val="22"/>
        </w:rPr>
        <w:t xml:space="preserve">: </w:t>
      </w:r>
      <w:r w:rsidRPr="007541D0">
        <w:rPr>
          <w:b/>
          <w:sz w:val="22"/>
          <w:szCs w:val="22"/>
        </w:rPr>
        <w:t>paragraph after letter (g</w:t>
      </w:r>
      <w:proofErr w:type="gramStart"/>
      <w:r w:rsidRPr="007541D0">
        <w:rPr>
          <w:b/>
          <w:sz w:val="22"/>
          <w:szCs w:val="22"/>
        </w:rPr>
        <w:t>)</w:t>
      </w:r>
      <w:r>
        <w:rPr>
          <w:sz w:val="22"/>
          <w:szCs w:val="22"/>
        </w:rPr>
        <w:t>;</w:t>
      </w:r>
      <w:proofErr w:type="gramEnd"/>
    </w:p>
    <w:p w14:paraId="3AF9B8DF" w14:textId="77777777" w:rsidR="00ED40B5" w:rsidRPr="00405103" w:rsidRDefault="00ED40B5" w:rsidP="00ED40B5">
      <w:pPr>
        <w:ind w:left="709"/>
        <w:jc w:val="both"/>
        <w:rPr>
          <w:sz w:val="22"/>
          <w:szCs w:val="22"/>
        </w:rPr>
      </w:pPr>
    </w:p>
    <w:p w14:paraId="19360A45" w14:textId="77777777" w:rsidR="00ED40B5" w:rsidRPr="00313D6C" w:rsidRDefault="00ED40B5" w:rsidP="00ED40B5">
      <w:pPr>
        <w:ind w:left="709"/>
        <w:jc w:val="both"/>
        <w:rPr>
          <w:sz w:val="22"/>
          <w:szCs w:val="22"/>
          <w:u w:val="single"/>
        </w:rPr>
      </w:pPr>
      <w:r w:rsidRPr="00405103">
        <w:rPr>
          <w:sz w:val="22"/>
          <w:szCs w:val="22"/>
          <w:u w:val="single"/>
        </w:rPr>
        <w:t>Part III</w:t>
      </w:r>
      <w:r>
        <w:rPr>
          <w:sz w:val="22"/>
          <w:szCs w:val="22"/>
          <w:u w:val="single"/>
        </w:rPr>
        <w:t xml:space="preserve"> – Form of Modified Acceptance for Non-Foundation Capacity Agreement</w:t>
      </w:r>
      <w:r w:rsidRPr="00313D6C">
        <w:rPr>
          <w:sz w:val="22"/>
          <w:szCs w:val="22"/>
        </w:rPr>
        <w:t xml:space="preserve">: </w:t>
      </w:r>
      <w:r w:rsidRPr="007541D0">
        <w:rPr>
          <w:b/>
          <w:sz w:val="22"/>
          <w:szCs w:val="22"/>
        </w:rPr>
        <w:t xml:space="preserve">third </w:t>
      </w:r>
      <w:proofErr w:type="gramStart"/>
      <w:r w:rsidRPr="007541D0">
        <w:rPr>
          <w:b/>
          <w:sz w:val="22"/>
          <w:szCs w:val="22"/>
        </w:rPr>
        <w:t>paragraph</w:t>
      </w:r>
      <w:r>
        <w:rPr>
          <w:sz w:val="22"/>
          <w:szCs w:val="22"/>
        </w:rPr>
        <w:t>;</w:t>
      </w:r>
      <w:proofErr w:type="gramEnd"/>
    </w:p>
    <w:p w14:paraId="4934C8F1" w14:textId="77777777" w:rsidR="00ED40B5" w:rsidRPr="00405103" w:rsidRDefault="00ED40B5" w:rsidP="00ED40B5">
      <w:pPr>
        <w:ind w:left="709"/>
        <w:jc w:val="both"/>
        <w:rPr>
          <w:sz w:val="22"/>
          <w:szCs w:val="22"/>
        </w:rPr>
      </w:pPr>
    </w:p>
    <w:p w14:paraId="090D9128" w14:textId="77777777" w:rsidR="00ED40B5" w:rsidRPr="00313D6C" w:rsidRDefault="00ED40B5" w:rsidP="00ED40B5">
      <w:pPr>
        <w:ind w:left="709"/>
        <w:jc w:val="both"/>
        <w:rPr>
          <w:sz w:val="22"/>
          <w:szCs w:val="22"/>
          <w:u w:val="single"/>
        </w:rPr>
      </w:pPr>
      <w:r w:rsidRPr="00405103">
        <w:rPr>
          <w:sz w:val="22"/>
          <w:szCs w:val="22"/>
          <w:u w:val="single"/>
        </w:rPr>
        <w:t>Part IV</w:t>
      </w:r>
      <w:r>
        <w:rPr>
          <w:sz w:val="22"/>
          <w:szCs w:val="22"/>
          <w:u w:val="single"/>
        </w:rPr>
        <w:t xml:space="preserve"> – Non-Foundation Capacity Agreement</w:t>
      </w:r>
      <w:r w:rsidRPr="00313D6C">
        <w:rPr>
          <w:sz w:val="22"/>
          <w:szCs w:val="22"/>
        </w:rPr>
        <w:t xml:space="preserve">: clause </w:t>
      </w:r>
      <w:r w:rsidRPr="00313D6C">
        <w:rPr>
          <w:b/>
          <w:sz w:val="22"/>
          <w:szCs w:val="22"/>
        </w:rPr>
        <w:t>5</w:t>
      </w:r>
      <w:r w:rsidRPr="00405103">
        <w:rPr>
          <w:sz w:val="22"/>
          <w:szCs w:val="22"/>
        </w:rPr>
        <w:t xml:space="preserve"> </w:t>
      </w:r>
      <w:r>
        <w:rPr>
          <w:sz w:val="22"/>
          <w:szCs w:val="22"/>
        </w:rPr>
        <w:t>“</w:t>
      </w:r>
      <w:r w:rsidRPr="00313D6C">
        <w:rPr>
          <w:i/>
          <w:sz w:val="22"/>
          <w:szCs w:val="22"/>
        </w:rPr>
        <w:t>Domicile election and notices</w:t>
      </w:r>
      <w:r>
        <w:rPr>
          <w:sz w:val="22"/>
          <w:szCs w:val="22"/>
        </w:rPr>
        <w:t>”</w:t>
      </w:r>
      <w:r w:rsidRPr="00405103">
        <w:rPr>
          <w:sz w:val="22"/>
          <w:szCs w:val="22"/>
        </w:rPr>
        <w:t>;</w:t>
      </w:r>
      <w:r w:rsidRPr="00313D6C">
        <w:rPr>
          <w:sz w:val="22"/>
          <w:szCs w:val="22"/>
        </w:rPr>
        <w:t xml:space="preserve"> </w:t>
      </w:r>
      <w:r>
        <w:rPr>
          <w:sz w:val="22"/>
          <w:szCs w:val="22"/>
        </w:rPr>
        <w:t xml:space="preserve">clause </w:t>
      </w:r>
      <w:r w:rsidRPr="00313D6C">
        <w:rPr>
          <w:b/>
          <w:sz w:val="22"/>
          <w:szCs w:val="22"/>
        </w:rPr>
        <w:t>6</w:t>
      </w:r>
      <w:r w:rsidRPr="00405103">
        <w:rPr>
          <w:sz w:val="22"/>
          <w:szCs w:val="22"/>
        </w:rPr>
        <w:t xml:space="preserve"> </w:t>
      </w:r>
      <w:r>
        <w:rPr>
          <w:sz w:val="22"/>
          <w:szCs w:val="22"/>
        </w:rPr>
        <w:t>“</w:t>
      </w:r>
      <w:r w:rsidRPr="00313D6C">
        <w:rPr>
          <w:i/>
          <w:sz w:val="22"/>
          <w:szCs w:val="22"/>
        </w:rPr>
        <w:t>Financing of the Terminal</w:t>
      </w:r>
      <w:r>
        <w:rPr>
          <w:sz w:val="22"/>
          <w:szCs w:val="22"/>
        </w:rPr>
        <w:t>”</w:t>
      </w:r>
      <w:r w:rsidRPr="00405103">
        <w:rPr>
          <w:sz w:val="22"/>
          <w:szCs w:val="22"/>
        </w:rPr>
        <w:t>.</w:t>
      </w:r>
    </w:p>
    <w:p w14:paraId="68866992" w14:textId="77777777" w:rsidR="00ED40B5" w:rsidRPr="00405103" w:rsidRDefault="00ED40B5" w:rsidP="00ED40B5">
      <w:pPr>
        <w:ind w:left="709"/>
        <w:jc w:val="both"/>
        <w:rPr>
          <w:sz w:val="22"/>
          <w:szCs w:val="22"/>
        </w:rPr>
      </w:pPr>
    </w:p>
    <w:p w14:paraId="078CEF2B" w14:textId="77777777" w:rsidR="00ED40B5" w:rsidRPr="00301DDD" w:rsidRDefault="00ED40B5" w:rsidP="00ED40B5">
      <w:pPr>
        <w:ind w:left="709"/>
        <w:jc w:val="both"/>
        <w:rPr>
          <w:sz w:val="22"/>
          <w:szCs w:val="22"/>
          <w:u w:val="single"/>
        </w:rPr>
      </w:pPr>
      <w:r w:rsidRPr="00405103">
        <w:rPr>
          <w:sz w:val="22"/>
          <w:szCs w:val="22"/>
          <w:u w:val="single"/>
        </w:rPr>
        <w:t>Schedule (2)</w:t>
      </w:r>
      <w:r>
        <w:rPr>
          <w:sz w:val="22"/>
          <w:szCs w:val="22"/>
          <w:u w:val="single"/>
        </w:rPr>
        <w:t xml:space="preserve"> - </w:t>
      </w:r>
      <w:r w:rsidRPr="00301DDD">
        <w:rPr>
          <w:sz w:val="22"/>
          <w:szCs w:val="22"/>
          <w:u w:val="single"/>
        </w:rPr>
        <w:t>Direct Agreement</w:t>
      </w:r>
      <w:r w:rsidRPr="00301DDD">
        <w:rPr>
          <w:sz w:val="22"/>
          <w:szCs w:val="22"/>
        </w:rPr>
        <w:t>: Recital E</w:t>
      </w:r>
      <w:r w:rsidRPr="00405103">
        <w:rPr>
          <w:sz w:val="22"/>
          <w:szCs w:val="22"/>
        </w:rPr>
        <w:t>;</w:t>
      </w:r>
      <w:r w:rsidRPr="00301DDD">
        <w:rPr>
          <w:sz w:val="22"/>
          <w:szCs w:val="22"/>
        </w:rPr>
        <w:t xml:space="preserve"> </w:t>
      </w:r>
      <w:r>
        <w:rPr>
          <w:sz w:val="22"/>
          <w:szCs w:val="22"/>
        </w:rPr>
        <w:t xml:space="preserve">clause </w:t>
      </w:r>
      <w:r w:rsidRPr="00301DDD">
        <w:rPr>
          <w:b/>
          <w:sz w:val="22"/>
          <w:szCs w:val="22"/>
        </w:rPr>
        <w:t>2</w:t>
      </w:r>
      <w:r w:rsidRPr="00405103">
        <w:rPr>
          <w:sz w:val="22"/>
          <w:szCs w:val="22"/>
        </w:rPr>
        <w:t xml:space="preserve"> </w:t>
      </w:r>
      <w:r>
        <w:rPr>
          <w:sz w:val="22"/>
          <w:szCs w:val="22"/>
        </w:rPr>
        <w:t>“</w:t>
      </w:r>
      <w:r w:rsidRPr="00301DDD">
        <w:rPr>
          <w:i/>
          <w:sz w:val="22"/>
          <w:szCs w:val="22"/>
        </w:rPr>
        <w:t>Consent to assignment and Step-In Rights</w:t>
      </w:r>
      <w:r>
        <w:rPr>
          <w:sz w:val="22"/>
          <w:szCs w:val="22"/>
        </w:rPr>
        <w:t>”</w:t>
      </w:r>
      <w:r w:rsidRPr="00405103">
        <w:rPr>
          <w:sz w:val="22"/>
          <w:szCs w:val="22"/>
        </w:rPr>
        <w:t>;</w:t>
      </w:r>
      <w:r w:rsidRPr="00301DDD">
        <w:rPr>
          <w:sz w:val="22"/>
          <w:szCs w:val="22"/>
        </w:rPr>
        <w:t xml:space="preserve"> </w:t>
      </w:r>
      <w:r>
        <w:rPr>
          <w:sz w:val="22"/>
          <w:szCs w:val="22"/>
        </w:rPr>
        <w:t xml:space="preserve">clause </w:t>
      </w:r>
      <w:r w:rsidRPr="00301DDD">
        <w:rPr>
          <w:b/>
          <w:sz w:val="22"/>
          <w:szCs w:val="22"/>
        </w:rPr>
        <w:t>3</w:t>
      </w:r>
      <w:r w:rsidRPr="00405103">
        <w:rPr>
          <w:sz w:val="22"/>
          <w:szCs w:val="22"/>
        </w:rPr>
        <w:t xml:space="preserve"> </w:t>
      </w:r>
      <w:r>
        <w:rPr>
          <w:sz w:val="22"/>
          <w:szCs w:val="22"/>
        </w:rPr>
        <w:t>“</w:t>
      </w:r>
      <w:r w:rsidRPr="00301DDD">
        <w:rPr>
          <w:i/>
          <w:sz w:val="22"/>
          <w:szCs w:val="22"/>
        </w:rPr>
        <w:t>Payments under the Capacity Agreement</w:t>
      </w:r>
      <w:r>
        <w:rPr>
          <w:sz w:val="22"/>
          <w:szCs w:val="22"/>
        </w:rPr>
        <w:t>”</w:t>
      </w:r>
      <w:r w:rsidRPr="00301DDD">
        <w:rPr>
          <w:sz w:val="22"/>
          <w:szCs w:val="22"/>
        </w:rPr>
        <w:t xml:space="preserve">; clause </w:t>
      </w:r>
      <w:r w:rsidRPr="00301DDD">
        <w:rPr>
          <w:b/>
          <w:sz w:val="22"/>
          <w:szCs w:val="22"/>
        </w:rPr>
        <w:t>6.7</w:t>
      </w:r>
      <w:r w:rsidRPr="00301DDD">
        <w:rPr>
          <w:sz w:val="22"/>
          <w:szCs w:val="22"/>
        </w:rPr>
        <w:t xml:space="preserve"> </w:t>
      </w:r>
      <w:r>
        <w:rPr>
          <w:sz w:val="22"/>
          <w:szCs w:val="22"/>
        </w:rPr>
        <w:t>“</w:t>
      </w:r>
      <w:r w:rsidRPr="00301DDD">
        <w:rPr>
          <w:i/>
          <w:sz w:val="22"/>
          <w:szCs w:val="22"/>
        </w:rPr>
        <w:t>Arbitration</w:t>
      </w:r>
      <w:r>
        <w:rPr>
          <w:sz w:val="22"/>
          <w:szCs w:val="22"/>
        </w:rPr>
        <w:t>”</w:t>
      </w:r>
      <w:r w:rsidRPr="00301DDD">
        <w:rPr>
          <w:sz w:val="22"/>
          <w:szCs w:val="22"/>
        </w:rPr>
        <w:t xml:space="preserve">; </w:t>
      </w:r>
      <w:r>
        <w:rPr>
          <w:sz w:val="22"/>
          <w:szCs w:val="22"/>
        </w:rPr>
        <w:t xml:space="preserve">clause </w:t>
      </w:r>
      <w:r w:rsidRPr="00301DDD">
        <w:rPr>
          <w:b/>
          <w:sz w:val="22"/>
          <w:szCs w:val="22"/>
        </w:rPr>
        <w:t>6.9</w:t>
      </w:r>
      <w:r w:rsidRPr="00301DDD">
        <w:rPr>
          <w:sz w:val="22"/>
          <w:szCs w:val="22"/>
        </w:rPr>
        <w:t xml:space="preserve"> </w:t>
      </w:r>
      <w:r>
        <w:rPr>
          <w:sz w:val="22"/>
          <w:szCs w:val="22"/>
        </w:rPr>
        <w:t>“</w:t>
      </w:r>
      <w:r w:rsidRPr="00301DDD">
        <w:rPr>
          <w:i/>
          <w:sz w:val="22"/>
          <w:szCs w:val="22"/>
        </w:rPr>
        <w:t>Termination</w:t>
      </w:r>
      <w:r w:rsidRPr="00301DDD">
        <w:rPr>
          <w:sz w:val="22"/>
          <w:szCs w:val="22"/>
        </w:rPr>
        <w:t xml:space="preserve">”; clause </w:t>
      </w:r>
      <w:r w:rsidRPr="00301DDD">
        <w:rPr>
          <w:b/>
          <w:sz w:val="22"/>
          <w:szCs w:val="22"/>
        </w:rPr>
        <w:t>6.10</w:t>
      </w:r>
      <w:r w:rsidRPr="00301DDD">
        <w:rPr>
          <w:sz w:val="22"/>
          <w:szCs w:val="22"/>
        </w:rPr>
        <w:t xml:space="preserve"> </w:t>
      </w:r>
      <w:r>
        <w:rPr>
          <w:sz w:val="22"/>
          <w:szCs w:val="22"/>
        </w:rPr>
        <w:t>“</w:t>
      </w:r>
      <w:r w:rsidRPr="00301DDD">
        <w:rPr>
          <w:i/>
          <w:sz w:val="22"/>
          <w:szCs w:val="22"/>
        </w:rPr>
        <w:t>Conflicts of documents</w:t>
      </w:r>
      <w:r>
        <w:rPr>
          <w:sz w:val="22"/>
          <w:szCs w:val="22"/>
        </w:rPr>
        <w:t>”</w:t>
      </w:r>
      <w:r w:rsidRPr="00301DDD">
        <w:rPr>
          <w:sz w:val="22"/>
          <w:szCs w:val="22"/>
        </w:rPr>
        <w:t>.</w:t>
      </w:r>
    </w:p>
    <w:p w14:paraId="44BFF207" w14:textId="77777777" w:rsidR="00ED40B5" w:rsidRPr="00301DDD" w:rsidRDefault="00ED40B5" w:rsidP="00ED40B5">
      <w:pPr>
        <w:ind w:left="709"/>
        <w:jc w:val="both"/>
        <w:rPr>
          <w:sz w:val="22"/>
          <w:szCs w:val="22"/>
        </w:rPr>
      </w:pPr>
    </w:p>
    <w:p w14:paraId="12B4D33B" w14:textId="77777777" w:rsidR="00ED40B5" w:rsidRPr="00301DDD" w:rsidRDefault="00ED40B5" w:rsidP="00ED40B5">
      <w:pPr>
        <w:ind w:left="709"/>
        <w:jc w:val="both"/>
        <w:rPr>
          <w:sz w:val="22"/>
          <w:szCs w:val="22"/>
          <w:u w:val="single"/>
        </w:rPr>
      </w:pPr>
      <w:r w:rsidRPr="00301DDD">
        <w:rPr>
          <w:sz w:val="22"/>
          <w:szCs w:val="22"/>
          <w:u w:val="single"/>
        </w:rPr>
        <w:t>Part V</w:t>
      </w:r>
      <w:r>
        <w:rPr>
          <w:sz w:val="22"/>
          <w:szCs w:val="22"/>
          <w:u w:val="single"/>
        </w:rPr>
        <w:t xml:space="preserve"> – Spot Capacity Agreement</w:t>
      </w:r>
      <w:r w:rsidRPr="00301DDD">
        <w:rPr>
          <w:sz w:val="22"/>
          <w:szCs w:val="22"/>
        </w:rPr>
        <w:t xml:space="preserve">: </w:t>
      </w:r>
      <w:r>
        <w:rPr>
          <w:sz w:val="22"/>
          <w:szCs w:val="22"/>
        </w:rPr>
        <w:t xml:space="preserve">clause </w:t>
      </w:r>
      <w:r w:rsidRPr="00301DDD">
        <w:rPr>
          <w:b/>
          <w:sz w:val="22"/>
          <w:szCs w:val="22"/>
        </w:rPr>
        <w:t>5</w:t>
      </w:r>
      <w:r w:rsidRPr="00301DDD">
        <w:rPr>
          <w:sz w:val="22"/>
          <w:szCs w:val="22"/>
        </w:rPr>
        <w:t xml:space="preserve"> </w:t>
      </w:r>
      <w:r>
        <w:rPr>
          <w:sz w:val="22"/>
          <w:szCs w:val="22"/>
        </w:rPr>
        <w:t>“</w:t>
      </w:r>
      <w:r w:rsidRPr="00301DDD">
        <w:rPr>
          <w:i/>
          <w:sz w:val="22"/>
          <w:szCs w:val="22"/>
        </w:rPr>
        <w:t>Domicile election and notices</w:t>
      </w:r>
      <w:r>
        <w:rPr>
          <w:sz w:val="22"/>
          <w:szCs w:val="22"/>
        </w:rPr>
        <w:t>”</w:t>
      </w:r>
      <w:r w:rsidRPr="00301DDD">
        <w:rPr>
          <w:sz w:val="22"/>
          <w:szCs w:val="22"/>
        </w:rPr>
        <w:t xml:space="preserve"> </w:t>
      </w:r>
    </w:p>
    <w:p w14:paraId="3E184C5C" w14:textId="77777777" w:rsidR="00ED40B5" w:rsidRPr="00301DDD" w:rsidRDefault="00ED40B5" w:rsidP="00ED40B5">
      <w:pPr>
        <w:ind w:left="709"/>
        <w:jc w:val="both"/>
        <w:rPr>
          <w:sz w:val="22"/>
          <w:szCs w:val="22"/>
        </w:rPr>
      </w:pPr>
    </w:p>
    <w:p w14:paraId="45363BAA" w14:textId="77777777" w:rsidR="00ED40B5" w:rsidRDefault="00ED40B5" w:rsidP="00ED40B5">
      <w:pPr>
        <w:pStyle w:val="AODocTxtL1"/>
        <w:ind w:left="709"/>
        <w:rPr>
          <w:szCs w:val="22"/>
        </w:rPr>
      </w:pPr>
      <w:r w:rsidRPr="00621330">
        <w:rPr>
          <w:szCs w:val="22"/>
          <w:u w:val="single"/>
        </w:rPr>
        <w:t>ANNEX (e)</w:t>
      </w:r>
      <w:r w:rsidRPr="007541D0">
        <w:rPr>
          <w:szCs w:val="22"/>
          <w:u w:val="single"/>
        </w:rPr>
        <w:t xml:space="preserve"> </w:t>
      </w:r>
      <w:r>
        <w:rPr>
          <w:szCs w:val="22"/>
          <w:u w:val="single"/>
        </w:rPr>
        <w:t xml:space="preserve">– </w:t>
      </w:r>
      <w:r w:rsidRPr="007541D0">
        <w:rPr>
          <w:szCs w:val="22"/>
          <w:u w:val="single"/>
        </w:rPr>
        <w:t>Form of Release Declaration</w:t>
      </w:r>
      <w:r w:rsidRPr="007541D0">
        <w:rPr>
          <w:szCs w:val="22"/>
        </w:rPr>
        <w:t xml:space="preserve">: </w:t>
      </w:r>
      <w:r w:rsidRPr="007541D0">
        <w:rPr>
          <w:b/>
          <w:szCs w:val="22"/>
        </w:rPr>
        <w:t>last paragraph</w:t>
      </w:r>
      <w:r w:rsidRPr="007541D0">
        <w:rPr>
          <w:szCs w:val="22"/>
        </w:rPr>
        <w:t>.</w:t>
      </w:r>
      <w:r w:rsidDel="00AE6B8B">
        <w:rPr>
          <w:szCs w:val="22"/>
        </w:rPr>
        <w:t xml:space="preserve"> </w:t>
      </w:r>
      <w:bookmarkEnd w:id="6"/>
    </w:p>
    <w:p w14:paraId="4C9BC538" w14:textId="77777777" w:rsidR="00ED40B5" w:rsidRPr="000A61ED" w:rsidRDefault="00ED40B5" w:rsidP="00ED40B5">
      <w:pPr>
        <w:pStyle w:val="AODocTxtL1"/>
      </w:pPr>
      <w:r w:rsidRPr="000A61ED">
        <w:t>The list of “unfair terms” ("</w:t>
      </w:r>
      <w:proofErr w:type="spellStart"/>
      <w:r w:rsidRPr="000A61ED">
        <w:rPr>
          <w:i/>
        </w:rPr>
        <w:t>clausole</w:t>
      </w:r>
      <w:proofErr w:type="spellEnd"/>
      <w:r w:rsidRPr="000A61ED">
        <w:rPr>
          <w:i/>
        </w:rPr>
        <w:t xml:space="preserve"> </w:t>
      </w:r>
      <w:proofErr w:type="spellStart"/>
      <w:r w:rsidRPr="000A61ED">
        <w:rPr>
          <w:i/>
        </w:rPr>
        <w:t>vessatorie</w:t>
      </w:r>
      <w:proofErr w:type="spellEnd"/>
      <w:r w:rsidRPr="000A61ED">
        <w:t xml:space="preserve">") shall be modified or integrated in accordance with the amendments to the Regasification Code (if any) required by the </w:t>
      </w:r>
      <w:r>
        <w:t>ARERA</w:t>
      </w:r>
      <w:r w:rsidRPr="000A61ED">
        <w:t xml:space="preserve">. </w:t>
      </w:r>
    </w:p>
    <w:p w14:paraId="0EE9D4BB" w14:textId="77777777" w:rsidR="00ED40B5" w:rsidRDefault="00ED40B5" w:rsidP="00ED40B5">
      <w:pPr>
        <w:pStyle w:val="AODocTxtL1"/>
      </w:pPr>
      <w:r>
        <w:t>[Applicant]</w:t>
      </w:r>
    </w:p>
    <w:p w14:paraId="3B92C62D" w14:textId="77777777" w:rsidR="00ED40B5" w:rsidRDefault="00ED40B5" w:rsidP="00ED40B5">
      <w:pPr>
        <w:pStyle w:val="AODocTxtL1"/>
      </w:pPr>
      <w:r>
        <w:t xml:space="preserve">By: </w:t>
      </w:r>
      <w:r>
        <w:tab/>
        <w:t>_________________</w:t>
      </w:r>
    </w:p>
    <w:p w14:paraId="08C987B0" w14:textId="77777777" w:rsidR="00ED40B5" w:rsidRDefault="00ED40B5" w:rsidP="00ED40B5">
      <w:pPr>
        <w:pStyle w:val="AODocTxtL1"/>
      </w:pPr>
      <w:r>
        <w:t>Title:</w:t>
      </w:r>
      <w:r>
        <w:tab/>
        <w:t>_________________</w:t>
      </w:r>
    </w:p>
    <w:p w14:paraId="36672E86" w14:textId="77777777" w:rsidR="00ED40B5" w:rsidRDefault="00ED40B5" w:rsidP="00ED40B5">
      <w:pPr>
        <w:pStyle w:val="AODocTxtL1"/>
        <w:keepNext/>
      </w:pPr>
      <w:r>
        <w:t>For Acceptance:</w:t>
      </w:r>
    </w:p>
    <w:p w14:paraId="2F709E60" w14:textId="77777777" w:rsidR="00ED40B5" w:rsidRPr="00AB05B7" w:rsidRDefault="00ED40B5" w:rsidP="00ED40B5">
      <w:pPr>
        <w:pStyle w:val="AODocTxtL1"/>
        <w:rPr>
          <w:lang w:val="it-IT"/>
        </w:rPr>
      </w:pPr>
      <w:r>
        <w:rPr>
          <w:lang w:val="it-IT"/>
        </w:rPr>
        <w:t>Terminale GNL Adriatico S.r.l.</w:t>
      </w:r>
    </w:p>
    <w:p w14:paraId="0E789E99" w14:textId="77777777" w:rsidR="00ED40B5" w:rsidRDefault="00ED40B5" w:rsidP="00ED40B5">
      <w:pPr>
        <w:pStyle w:val="AODocTxtL1"/>
      </w:pPr>
      <w:r>
        <w:t xml:space="preserve">By: </w:t>
      </w:r>
      <w:r>
        <w:tab/>
        <w:t>_________________</w:t>
      </w:r>
    </w:p>
    <w:p w14:paraId="68FD06CF" w14:textId="4351CCEA" w:rsidR="00EA6139" w:rsidRDefault="00ED40B5" w:rsidP="00ED40B5">
      <w:pPr>
        <w:pStyle w:val="AODocTxtL1"/>
      </w:pPr>
      <w:r>
        <w:t>Title:</w:t>
      </w:r>
      <w:r>
        <w:tab/>
        <w:t>_________________</w:t>
      </w:r>
    </w:p>
    <w:tbl>
      <w:tblPr>
        <w:tblW w:w="0" w:type="auto"/>
        <w:tblLayout w:type="fixed"/>
        <w:tblLook w:val="01E0" w:firstRow="1" w:lastRow="1" w:firstColumn="1" w:lastColumn="1" w:noHBand="0" w:noVBand="0"/>
      </w:tblPr>
      <w:tblGrid>
        <w:gridCol w:w="4621"/>
      </w:tblGrid>
      <w:tr w:rsidR="00EA6139" w:rsidRPr="000A6889" w14:paraId="12347EF3" w14:textId="77777777" w:rsidTr="00215D7A">
        <w:tc>
          <w:tcPr>
            <w:tcW w:w="4621" w:type="dxa"/>
          </w:tcPr>
          <w:p w14:paraId="05150383" w14:textId="77777777" w:rsidR="00EA6139" w:rsidRPr="003B7E5B" w:rsidRDefault="00EA6139" w:rsidP="00EA6139">
            <w:pPr>
              <w:pStyle w:val="AODocTxt"/>
              <w:numPr>
                <w:ilvl w:val="0"/>
                <w:numId w:val="0"/>
              </w:numPr>
              <w:rPr>
                <w:b/>
                <w:bCs/>
                <w:lang w:val="it-IT"/>
              </w:rPr>
            </w:pPr>
          </w:p>
        </w:tc>
      </w:tr>
    </w:tbl>
    <w:p w14:paraId="02F6F943" w14:textId="56D6BA4C" w:rsidR="00EA6139" w:rsidRDefault="00EA6139" w:rsidP="00EA6139">
      <w:pPr>
        <w:jc w:val="center"/>
        <w:rPr>
          <w:b/>
          <w:bCs/>
        </w:rPr>
      </w:pPr>
      <w:r>
        <w:rPr>
          <w:b/>
          <w:bCs/>
        </w:rPr>
        <w:t>Schedule</w:t>
      </w:r>
      <w:r w:rsidRPr="003B7E5B">
        <w:rPr>
          <w:b/>
          <w:bCs/>
        </w:rPr>
        <w:t xml:space="preserve"> 1</w:t>
      </w:r>
    </w:p>
    <w:p w14:paraId="57C52FAB" w14:textId="77777777" w:rsidR="00EA6139" w:rsidRDefault="00EA6139" w:rsidP="00EA6139">
      <w:pPr>
        <w:jc w:val="center"/>
        <w:rPr>
          <w:b/>
          <w:bCs/>
        </w:rPr>
      </w:pPr>
    </w:p>
    <w:p w14:paraId="3D8F7791" w14:textId="54B39D5D" w:rsidR="00EA6139" w:rsidRPr="00EA6139" w:rsidRDefault="00EA6139" w:rsidP="00EA6139">
      <w:pPr>
        <w:jc w:val="center"/>
        <w:rPr>
          <w:lang w:val="en-US"/>
        </w:rPr>
      </w:pPr>
      <w:r w:rsidRPr="00EA6139">
        <w:rPr>
          <w:lang w:val="en-US"/>
        </w:rPr>
        <w:t>[User to insert Schedule (1) as published by the Operating Company on the Electronic Communication System</w:t>
      </w:r>
      <w:r w:rsidR="003624F1" w:rsidRPr="00EA6139">
        <w:rPr>
          <w:lang w:val="en-US"/>
        </w:rPr>
        <w:t>*</w:t>
      </w:r>
      <w:r w:rsidRPr="00EA6139">
        <w:rPr>
          <w:lang w:val="en-US"/>
        </w:rPr>
        <w:t xml:space="preserve">, with respect to the </w:t>
      </w:r>
      <w:proofErr w:type="gramStart"/>
      <w:r w:rsidRPr="00EA6139">
        <w:rPr>
          <w:lang w:val="en-US"/>
        </w:rPr>
        <w:t>capacity</w:t>
      </w:r>
      <w:proofErr w:type="gramEnd"/>
      <w:r w:rsidRPr="00EA6139">
        <w:rPr>
          <w:lang w:val="en-US"/>
        </w:rPr>
        <w:t xml:space="preserve"> which is the object, and for the term, of the Capacity Agreement.]</w:t>
      </w:r>
    </w:p>
    <w:p w14:paraId="43EAD177" w14:textId="77777777" w:rsidR="00EA6139" w:rsidRPr="00EA6139" w:rsidRDefault="00EA6139" w:rsidP="00EA6139">
      <w:pPr>
        <w:jc w:val="center"/>
        <w:rPr>
          <w:lang w:val="en-US"/>
        </w:rPr>
      </w:pPr>
    </w:p>
    <w:p w14:paraId="22728944" w14:textId="77777777" w:rsidR="00EA6139" w:rsidRPr="00EA6139" w:rsidRDefault="00EA6139" w:rsidP="00EA6139">
      <w:pPr>
        <w:jc w:val="center"/>
        <w:rPr>
          <w:lang w:val="en-US"/>
        </w:rPr>
      </w:pPr>
    </w:p>
    <w:p w14:paraId="1F08B0AD" w14:textId="77777777" w:rsidR="00EA6139" w:rsidRPr="00EA6139" w:rsidRDefault="00EA6139" w:rsidP="00EA6139">
      <w:pPr>
        <w:jc w:val="center"/>
        <w:rPr>
          <w:lang w:val="en-US"/>
        </w:rPr>
      </w:pPr>
    </w:p>
    <w:p w14:paraId="2B6E8E74" w14:textId="77777777" w:rsidR="00EA6139" w:rsidRPr="00EA6139" w:rsidRDefault="00EA6139" w:rsidP="00EA6139">
      <w:pPr>
        <w:jc w:val="center"/>
        <w:rPr>
          <w:lang w:val="en-US"/>
        </w:rPr>
      </w:pPr>
    </w:p>
    <w:p w14:paraId="4B5BB50F" w14:textId="77777777" w:rsidR="00EA6139" w:rsidRPr="00EA6139" w:rsidRDefault="00EA6139" w:rsidP="00EA6139">
      <w:pPr>
        <w:jc w:val="center"/>
        <w:rPr>
          <w:lang w:val="en-US"/>
        </w:rPr>
      </w:pPr>
    </w:p>
    <w:p w14:paraId="183DCDC7" w14:textId="77777777" w:rsidR="00EA6139" w:rsidRPr="00EA6139" w:rsidRDefault="00EA6139" w:rsidP="00EA6139">
      <w:pPr>
        <w:jc w:val="center"/>
        <w:rPr>
          <w:lang w:val="en-US"/>
        </w:rPr>
      </w:pPr>
    </w:p>
    <w:p w14:paraId="160C1028" w14:textId="77777777" w:rsidR="00EA6139" w:rsidRPr="00EA6139" w:rsidRDefault="00EA6139" w:rsidP="00EA6139">
      <w:pPr>
        <w:jc w:val="center"/>
        <w:rPr>
          <w:lang w:val="en-US"/>
        </w:rPr>
      </w:pPr>
    </w:p>
    <w:p w14:paraId="67D47F3C" w14:textId="77777777" w:rsidR="00EA6139" w:rsidRPr="00EA6139" w:rsidRDefault="00EA6139" w:rsidP="00EA6139">
      <w:pPr>
        <w:jc w:val="center"/>
        <w:rPr>
          <w:lang w:val="en-US"/>
        </w:rPr>
      </w:pPr>
    </w:p>
    <w:p w14:paraId="5E21FD2F" w14:textId="77777777" w:rsidR="00EA6139" w:rsidRPr="00EA6139" w:rsidRDefault="00EA6139" w:rsidP="00EA6139">
      <w:pPr>
        <w:jc w:val="center"/>
        <w:rPr>
          <w:lang w:val="en-US"/>
        </w:rPr>
      </w:pPr>
    </w:p>
    <w:p w14:paraId="58FACC7D" w14:textId="77777777" w:rsidR="00EA6139" w:rsidRPr="00EA6139" w:rsidRDefault="00EA6139" w:rsidP="00EA6139">
      <w:pPr>
        <w:jc w:val="center"/>
        <w:rPr>
          <w:lang w:val="en-US"/>
        </w:rPr>
      </w:pPr>
    </w:p>
    <w:p w14:paraId="2883BE23" w14:textId="2B983594" w:rsidR="00EA6139" w:rsidRDefault="00EA6139" w:rsidP="00EA6139">
      <w:pPr>
        <w:jc w:val="center"/>
        <w:rPr>
          <w:lang w:val="en-US"/>
        </w:rPr>
      </w:pPr>
    </w:p>
    <w:p w14:paraId="094C484F" w14:textId="77777777" w:rsidR="000077E0" w:rsidRPr="00EA6139" w:rsidRDefault="000077E0" w:rsidP="00EA6139">
      <w:pPr>
        <w:jc w:val="center"/>
        <w:rPr>
          <w:lang w:val="en-US"/>
        </w:rPr>
      </w:pPr>
    </w:p>
    <w:p w14:paraId="61221FAD" w14:textId="77777777" w:rsidR="00EA6139" w:rsidRPr="00EA6139" w:rsidRDefault="00EA6139" w:rsidP="00EA6139">
      <w:pPr>
        <w:jc w:val="center"/>
        <w:rPr>
          <w:lang w:val="en-US"/>
        </w:rPr>
      </w:pPr>
    </w:p>
    <w:p w14:paraId="75261D51" w14:textId="77777777" w:rsidR="00EA6139" w:rsidRPr="00EA6139" w:rsidRDefault="00EA6139" w:rsidP="00EA6139">
      <w:pPr>
        <w:jc w:val="center"/>
        <w:rPr>
          <w:lang w:val="en-US"/>
        </w:rPr>
      </w:pPr>
    </w:p>
    <w:p w14:paraId="523F94BA" w14:textId="77777777" w:rsidR="00EA6139" w:rsidRPr="00EA6139" w:rsidRDefault="00EA6139" w:rsidP="00EA6139">
      <w:pPr>
        <w:jc w:val="center"/>
        <w:rPr>
          <w:lang w:val="en-US"/>
        </w:rPr>
      </w:pPr>
    </w:p>
    <w:p w14:paraId="6C39776A" w14:textId="77777777" w:rsidR="00EA6139" w:rsidRPr="00EA6139" w:rsidRDefault="00EA6139" w:rsidP="00EA6139">
      <w:pPr>
        <w:jc w:val="center"/>
        <w:rPr>
          <w:lang w:val="en-US"/>
        </w:rPr>
      </w:pPr>
    </w:p>
    <w:p w14:paraId="73A70129" w14:textId="77777777" w:rsidR="00EA6139" w:rsidRPr="00EA6139" w:rsidRDefault="00EA6139" w:rsidP="00EA6139">
      <w:pPr>
        <w:jc w:val="center"/>
        <w:rPr>
          <w:lang w:val="en-US"/>
        </w:rPr>
      </w:pPr>
    </w:p>
    <w:p w14:paraId="68E47236" w14:textId="77777777" w:rsidR="00EA6139" w:rsidRPr="00EA6139" w:rsidRDefault="00EA6139" w:rsidP="00EA6139">
      <w:pPr>
        <w:jc w:val="center"/>
        <w:rPr>
          <w:lang w:val="en-US"/>
        </w:rPr>
      </w:pPr>
    </w:p>
    <w:p w14:paraId="1EFE6640" w14:textId="77777777" w:rsidR="00EA6139" w:rsidRPr="00EA6139" w:rsidRDefault="00EA6139" w:rsidP="00EA6139">
      <w:pPr>
        <w:jc w:val="center"/>
        <w:rPr>
          <w:lang w:val="en-US"/>
        </w:rPr>
      </w:pPr>
    </w:p>
    <w:p w14:paraId="20A5568E" w14:textId="77777777" w:rsidR="00EA6139" w:rsidRPr="00EA6139" w:rsidRDefault="00EA6139" w:rsidP="00EA6139">
      <w:pPr>
        <w:jc w:val="center"/>
        <w:rPr>
          <w:lang w:val="en-US"/>
        </w:rPr>
      </w:pPr>
    </w:p>
    <w:p w14:paraId="01F64CFF" w14:textId="77777777" w:rsidR="00EA6139" w:rsidRPr="00EA6139" w:rsidRDefault="00EA6139" w:rsidP="00EA6139">
      <w:pPr>
        <w:jc w:val="center"/>
        <w:rPr>
          <w:lang w:val="en-US"/>
        </w:rPr>
      </w:pPr>
    </w:p>
    <w:p w14:paraId="60F48A15" w14:textId="77777777" w:rsidR="00EA6139" w:rsidRPr="00EA6139" w:rsidRDefault="00EA6139" w:rsidP="00EA6139">
      <w:pPr>
        <w:jc w:val="center"/>
        <w:rPr>
          <w:lang w:val="en-US"/>
        </w:rPr>
      </w:pPr>
    </w:p>
    <w:p w14:paraId="2062315B" w14:textId="77777777" w:rsidR="00EA6139" w:rsidRPr="00EA6139" w:rsidRDefault="00EA6139" w:rsidP="00EA6139">
      <w:pPr>
        <w:jc w:val="center"/>
        <w:rPr>
          <w:lang w:val="en-US"/>
        </w:rPr>
      </w:pPr>
    </w:p>
    <w:p w14:paraId="720C45D9" w14:textId="77777777" w:rsidR="00EA6139" w:rsidRPr="00EA6139" w:rsidRDefault="00EA6139" w:rsidP="00EA6139">
      <w:pPr>
        <w:jc w:val="center"/>
        <w:rPr>
          <w:lang w:val="en-US"/>
        </w:rPr>
      </w:pPr>
    </w:p>
    <w:p w14:paraId="5BE09535" w14:textId="77777777" w:rsidR="00EA6139" w:rsidRPr="00EA6139" w:rsidRDefault="00EA6139" w:rsidP="00EA6139">
      <w:pPr>
        <w:jc w:val="center"/>
        <w:rPr>
          <w:lang w:val="en-US"/>
        </w:rPr>
      </w:pPr>
    </w:p>
    <w:p w14:paraId="51C90A5D" w14:textId="77777777" w:rsidR="00EA6139" w:rsidRPr="00EA6139" w:rsidRDefault="00EA6139" w:rsidP="00EA6139">
      <w:pPr>
        <w:jc w:val="center"/>
        <w:rPr>
          <w:lang w:val="en-US"/>
        </w:rPr>
      </w:pPr>
    </w:p>
    <w:p w14:paraId="289F7225" w14:textId="6E38E6F5" w:rsidR="00EA6139" w:rsidRDefault="00EA6139" w:rsidP="00EA6139">
      <w:pPr>
        <w:jc w:val="center"/>
        <w:rPr>
          <w:b/>
          <w:bCs/>
          <w:lang w:val="en-US"/>
        </w:rPr>
      </w:pPr>
    </w:p>
    <w:p w14:paraId="180138B2" w14:textId="01E8C987" w:rsidR="00EA6139" w:rsidRDefault="00EA6139" w:rsidP="00EA6139">
      <w:pPr>
        <w:jc w:val="center"/>
        <w:rPr>
          <w:b/>
          <w:bCs/>
          <w:lang w:val="en-US"/>
        </w:rPr>
      </w:pPr>
    </w:p>
    <w:p w14:paraId="5A87F0BF" w14:textId="77777777" w:rsidR="00EA6139" w:rsidRPr="00EA6139" w:rsidRDefault="00EA6139" w:rsidP="00EA6139">
      <w:pPr>
        <w:jc w:val="center"/>
        <w:rPr>
          <w:b/>
          <w:bCs/>
          <w:lang w:val="en-US"/>
        </w:rPr>
      </w:pPr>
    </w:p>
    <w:p w14:paraId="07EABF8D" w14:textId="77777777" w:rsidR="00EA6139" w:rsidRPr="00EA6139" w:rsidRDefault="00EA6139" w:rsidP="00EA6139">
      <w:pPr>
        <w:jc w:val="center"/>
        <w:rPr>
          <w:lang w:val="en-US"/>
        </w:rPr>
      </w:pPr>
    </w:p>
    <w:p w14:paraId="2269BA5A" w14:textId="77777777" w:rsidR="00EA6139" w:rsidRDefault="00EA6139" w:rsidP="00EA6139">
      <w:pPr>
        <w:rPr>
          <w:lang w:val="en-US"/>
        </w:rPr>
      </w:pPr>
    </w:p>
    <w:p w14:paraId="309E7D10" w14:textId="77777777" w:rsidR="00EA6139" w:rsidRDefault="00EA6139" w:rsidP="00EA6139">
      <w:pPr>
        <w:rPr>
          <w:lang w:val="en-US"/>
        </w:rPr>
      </w:pPr>
    </w:p>
    <w:p w14:paraId="21F160CE" w14:textId="77777777" w:rsidR="00EA6139" w:rsidRDefault="00EA6139" w:rsidP="00EA6139">
      <w:pPr>
        <w:rPr>
          <w:lang w:val="en-US"/>
        </w:rPr>
      </w:pPr>
    </w:p>
    <w:p w14:paraId="6BB55BF7" w14:textId="77777777" w:rsidR="00EA6139" w:rsidRDefault="00EA6139" w:rsidP="00EA6139">
      <w:pPr>
        <w:rPr>
          <w:lang w:val="en-US"/>
        </w:rPr>
      </w:pPr>
    </w:p>
    <w:p w14:paraId="41812218" w14:textId="77777777" w:rsidR="00EA6139" w:rsidRDefault="00EA6139" w:rsidP="00EA6139">
      <w:pPr>
        <w:rPr>
          <w:lang w:val="en-US"/>
        </w:rPr>
      </w:pPr>
    </w:p>
    <w:p w14:paraId="031B0069" w14:textId="77777777" w:rsidR="00EA6139" w:rsidRDefault="00EA6139" w:rsidP="00EA6139">
      <w:pPr>
        <w:rPr>
          <w:lang w:val="en-US"/>
        </w:rPr>
      </w:pPr>
    </w:p>
    <w:p w14:paraId="0BEF5AE6" w14:textId="77777777" w:rsidR="00EA6139" w:rsidRDefault="00EA6139" w:rsidP="00EA6139">
      <w:pPr>
        <w:rPr>
          <w:lang w:val="en-US"/>
        </w:rPr>
      </w:pPr>
    </w:p>
    <w:p w14:paraId="684A463B" w14:textId="77777777" w:rsidR="00EA6139" w:rsidRDefault="00EA6139" w:rsidP="00EA6139">
      <w:pPr>
        <w:rPr>
          <w:lang w:val="en-US"/>
        </w:rPr>
      </w:pPr>
    </w:p>
    <w:p w14:paraId="38B08AF0" w14:textId="04752220" w:rsidR="00EA6139" w:rsidRPr="00EA6139" w:rsidRDefault="00EA6139" w:rsidP="00ED40B5">
      <w:pPr>
        <w:rPr>
          <w:lang w:val="en-US"/>
        </w:rPr>
      </w:pPr>
      <w:r w:rsidRPr="00EA6139">
        <w:rPr>
          <w:lang w:val="en-US"/>
        </w:rPr>
        <w:t xml:space="preserve">* </w:t>
      </w:r>
      <w:r w:rsidRPr="00EA6139">
        <w:rPr>
          <w:sz w:val="18"/>
          <w:szCs w:val="16"/>
          <w:lang w:val="en-US"/>
        </w:rPr>
        <w:t xml:space="preserve">In case of Infra-annual Capacity subscription through auction procedures pursuant to article 2.4.2. (b) </w:t>
      </w:r>
      <w:r w:rsidRPr="00EA6139">
        <w:rPr>
          <w:sz w:val="18"/>
          <w:szCs w:val="16"/>
          <w:lang w:val="it-IT"/>
        </w:rPr>
        <w:t>α</w:t>
      </w:r>
      <w:r w:rsidRPr="00EA6139">
        <w:rPr>
          <w:sz w:val="18"/>
          <w:szCs w:val="16"/>
          <w:lang w:val="en-US"/>
        </w:rPr>
        <w:t xml:space="preserve">) of Chapter II, the </w:t>
      </w:r>
      <w:proofErr w:type="spellStart"/>
      <w:r w:rsidRPr="00EA6139">
        <w:rPr>
          <w:sz w:val="18"/>
          <w:szCs w:val="16"/>
          <w:lang w:val="en-US"/>
        </w:rPr>
        <w:t>Cqs</w:t>
      </w:r>
      <w:proofErr w:type="spellEnd"/>
      <w:r w:rsidRPr="00EA6139">
        <w:rPr>
          <w:sz w:val="18"/>
          <w:szCs w:val="16"/>
          <w:lang w:val="en-US"/>
        </w:rPr>
        <w:t xml:space="preserve"> is replaced by the allocation price offered by the User.</w:t>
      </w:r>
    </w:p>
    <w:sectPr w:rsidR="00EA6139" w:rsidRPr="00EA6139">
      <w:headerReference w:type="default" r:id="rId8"/>
      <w:footerReference w:type="even" r:id="rId9"/>
      <w:footerReference w:type="defaul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D8A5" w14:textId="77777777" w:rsidR="00ED40B5" w:rsidRDefault="00ED40B5" w:rsidP="00ED40B5">
      <w:r>
        <w:separator/>
      </w:r>
    </w:p>
  </w:endnote>
  <w:endnote w:type="continuationSeparator" w:id="0">
    <w:p w14:paraId="718681E2" w14:textId="77777777" w:rsidR="00ED40B5" w:rsidRDefault="00ED40B5" w:rsidP="00ED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MS Gothic"/>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E851" w14:textId="47998E4B" w:rsidR="0048664F" w:rsidRDefault="0048664F">
    <w:pPr>
      <w:pStyle w:val="Footer"/>
    </w:pPr>
    <w:r>
      <w:fldChar w:fldCharType="begin"/>
    </w:r>
    <w:r w:rsidR="00A9525A">
      <w:instrText xml:space="preserve">DOCPROPERTY DOCXDOCIDEMPTY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1BC5" w14:textId="65E8E881" w:rsidR="0048664F" w:rsidRDefault="0048664F">
    <w:pPr>
      <w:pStyle w:val="Footer"/>
    </w:pPr>
    <w:r>
      <w:fldChar w:fldCharType="begin"/>
    </w:r>
    <w:r w:rsidR="00A9525A">
      <w:instrText xml:space="preserve">DOCPROPERTY DOCXDOCIDEMPTY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66CD" w14:textId="513F77E0" w:rsidR="0048664F" w:rsidRDefault="0048664F">
    <w:pPr>
      <w:pStyle w:val="Footer"/>
    </w:pPr>
    <w:r>
      <w:fldChar w:fldCharType="begin"/>
    </w:r>
    <w:r w:rsidR="00A9525A">
      <w:instrText xml:space="preserve">DOCPROPERTY DOCXDOCIDEMPTY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2605" w14:textId="77777777" w:rsidR="00ED40B5" w:rsidRDefault="00ED40B5" w:rsidP="00ED40B5">
      <w:r>
        <w:separator/>
      </w:r>
    </w:p>
  </w:footnote>
  <w:footnote w:type="continuationSeparator" w:id="0">
    <w:p w14:paraId="5BF29C91" w14:textId="77777777" w:rsidR="00ED40B5" w:rsidRDefault="00ED40B5" w:rsidP="00ED40B5">
      <w:r>
        <w:continuationSeparator/>
      </w:r>
    </w:p>
  </w:footnote>
  <w:footnote w:id="1">
    <w:p w14:paraId="04A3911A" w14:textId="77777777" w:rsidR="00ED40B5" w:rsidRDefault="00ED40B5" w:rsidP="00ED40B5">
      <w:pPr>
        <w:pStyle w:val="FootnoteText"/>
        <w:jc w:val="both"/>
      </w:pPr>
      <w:r>
        <w:rPr>
          <w:rStyle w:val="FootnoteReference"/>
        </w:rPr>
        <w:footnoteRef/>
      </w:r>
      <w:r>
        <w:t xml:space="preserve"> It is understood that the Applicant shall only become a User upon, and </w:t>
      </w:r>
      <w:proofErr w:type="gramStart"/>
      <w:r>
        <w:t>as a consequence of</w:t>
      </w:r>
      <w:proofErr w:type="gramEnd"/>
      <w:r>
        <w:t>, the acceptance of the Access Request or the Modified Acceptance (to which this Agreement is attached) by the Operating Company or the Applicant, respectively, as the case may be. Therefore, prior to completion of this Agreement, reference to the User in this Agreement shall be considered as a reference to the Applicant.</w:t>
      </w:r>
    </w:p>
  </w:footnote>
  <w:footnote w:id="2">
    <w:p w14:paraId="12023B5C" w14:textId="77777777" w:rsidR="00ED40B5" w:rsidRPr="00B97F8B" w:rsidRDefault="00ED40B5" w:rsidP="00ED40B5">
      <w:pPr>
        <w:pStyle w:val="FootnoteText"/>
        <w:jc w:val="both"/>
      </w:pPr>
      <w:r>
        <w:rPr>
          <w:rStyle w:val="FootnoteReference"/>
        </w:rPr>
        <w:footnoteRef/>
      </w:r>
      <w:r>
        <w:t xml:space="preserve"> Delete as appropriate.</w:t>
      </w:r>
    </w:p>
  </w:footnote>
  <w:footnote w:id="3">
    <w:p w14:paraId="7AABF2A3" w14:textId="77777777" w:rsidR="00ED40B5" w:rsidRPr="00F77D72" w:rsidRDefault="00ED40B5" w:rsidP="00ED40B5">
      <w:pPr>
        <w:pStyle w:val="FootnoteText"/>
        <w:jc w:val="both"/>
      </w:pPr>
      <w:r>
        <w:rPr>
          <w:rStyle w:val="FootnoteReference"/>
        </w:rPr>
        <w:footnoteRef/>
      </w:r>
      <w:r>
        <w:t xml:space="preserve"> To be inserted if applicable, including the statement relating to the priority ranking criterion(</w:t>
      </w:r>
      <w:proofErr w:type="spellStart"/>
      <w:r>
        <w:t>i</w:t>
      </w:r>
      <w:proofErr w:type="spellEnd"/>
      <w:r>
        <w:t>) made under letter d) of the relevant Access Request.</w:t>
      </w:r>
    </w:p>
  </w:footnote>
  <w:footnote w:id="4">
    <w:p w14:paraId="31885C97" w14:textId="77777777" w:rsidR="00ED40B5" w:rsidRPr="00C7178D" w:rsidRDefault="00ED40B5" w:rsidP="00ED40B5">
      <w:pPr>
        <w:pStyle w:val="FootnoteText"/>
        <w:rPr>
          <w:lang w:val="en-US"/>
        </w:rPr>
      </w:pPr>
      <w:r w:rsidRPr="00C6555E">
        <w:rPr>
          <w:rStyle w:val="FootnoteReference"/>
        </w:rPr>
        <w:footnoteRef/>
      </w:r>
      <w:r w:rsidRPr="00C6555E">
        <w:rPr>
          <w:lang w:val="en-US"/>
        </w:rPr>
        <w:t xml:space="preserve"> To be inserted where applicable</w:t>
      </w:r>
      <w:r w:rsidRPr="00E97D9B">
        <w:rPr>
          <w:lang w:val="en-US"/>
        </w:rPr>
        <w:t>.</w:t>
      </w:r>
    </w:p>
  </w:footnote>
  <w:footnote w:id="5">
    <w:p w14:paraId="5754CC9E" w14:textId="77777777" w:rsidR="00ED40B5" w:rsidRDefault="00ED40B5" w:rsidP="00ED40B5">
      <w:pPr>
        <w:pStyle w:val="FootnoteText"/>
        <w:jc w:val="both"/>
      </w:pPr>
      <w:r>
        <w:rPr>
          <w:rStyle w:val="FootnoteReference"/>
        </w:rPr>
        <w:footnoteRef/>
      </w:r>
      <w:r>
        <w:t xml:space="preserve"> To be inserted if applicable.</w:t>
      </w:r>
    </w:p>
  </w:footnote>
  <w:footnote w:id="6">
    <w:p w14:paraId="6B3AB957" w14:textId="77777777" w:rsidR="00ED40B5" w:rsidRDefault="00ED40B5" w:rsidP="00ED40B5">
      <w:pPr>
        <w:pStyle w:val="FootnoteText"/>
        <w:jc w:val="both"/>
      </w:pPr>
      <w:r>
        <w:rPr>
          <w:rStyle w:val="FootnoteReference"/>
        </w:rPr>
        <w:footnoteRef/>
      </w:r>
      <w:r>
        <w:t xml:space="preserve"> To be deleted for Access Requests aimed at entering into Non-Foundation Capacity Agreements with a term of up to 1 (one) year.</w:t>
      </w:r>
    </w:p>
  </w:footnote>
  <w:footnote w:id="7">
    <w:p w14:paraId="46E526AE" w14:textId="77777777" w:rsidR="00ED40B5" w:rsidRDefault="00ED40B5" w:rsidP="00ED40B5">
      <w:pPr>
        <w:pStyle w:val="FootnoteText"/>
        <w:jc w:val="both"/>
      </w:pPr>
      <w:r>
        <w:rPr>
          <w:rStyle w:val="FootnoteReference"/>
        </w:rPr>
        <w:footnoteRef/>
      </w:r>
      <w:r>
        <w:t xml:space="preserve"> To be inserted if applicable.</w:t>
      </w:r>
    </w:p>
  </w:footnote>
  <w:footnote w:id="8">
    <w:p w14:paraId="1B911E27" w14:textId="64CF55E1" w:rsidR="00090F46" w:rsidRPr="00090F46" w:rsidRDefault="00090F46">
      <w:pPr>
        <w:pStyle w:val="FootnoteText"/>
      </w:pPr>
      <w:r>
        <w:rPr>
          <w:rStyle w:val="FootnoteReference"/>
        </w:rPr>
        <w:footnoteRef/>
      </w:r>
      <w:r>
        <w:t xml:space="preserve"> </w:t>
      </w:r>
      <w:r w:rsidRPr="00090F46">
        <w:t>To be inserted in the e</w:t>
      </w:r>
      <w:r>
        <w:t>vent of Access Request for Incremental Capacity.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4481" w14:textId="1189CD9C" w:rsidR="00ED40B5" w:rsidRDefault="0059150C" w:rsidP="0059150C">
    <w:pPr>
      <w:pStyle w:val="Header"/>
      <w:jc w:val="center"/>
      <w:rPr>
        <w:b/>
        <w:i/>
        <w:szCs w:val="24"/>
      </w:rPr>
    </w:pPr>
    <w:r w:rsidRPr="0059150C">
      <w:rPr>
        <w:b/>
        <w:i/>
        <w:szCs w:val="24"/>
      </w:rPr>
      <w:t xml:space="preserve">English courtesy translation, </w:t>
    </w:r>
    <w:proofErr w:type="spellStart"/>
    <w:proofErr w:type="gramStart"/>
    <w:r w:rsidRPr="0059150C">
      <w:rPr>
        <w:b/>
        <w:i/>
        <w:szCs w:val="24"/>
      </w:rPr>
      <w:t>non binding</w:t>
    </w:r>
    <w:proofErr w:type="spellEnd"/>
    <w:proofErr w:type="gramEnd"/>
  </w:p>
  <w:p w14:paraId="6EA1A665" w14:textId="4A7970E5" w:rsidR="00A9525A" w:rsidRDefault="00A9525A" w:rsidP="0059150C">
    <w:pPr>
      <w:pStyle w:val="Header"/>
      <w:jc w:val="center"/>
      <w:rPr>
        <w:b/>
        <w:i/>
        <w:szCs w:val="24"/>
      </w:rPr>
    </w:pPr>
  </w:p>
  <w:p w14:paraId="462EBC44" w14:textId="77777777" w:rsidR="00ED40B5" w:rsidRDefault="00ED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9759A"/>
    <w:multiLevelType w:val="multilevel"/>
    <w:tmpl w:val="ECCE6160"/>
    <w:lvl w:ilvl="0">
      <w:start w:val="1"/>
      <w:numFmt w:val="decimal"/>
      <w:pStyle w:val="AOGenNum2"/>
      <w:lvlText w:val="%1."/>
      <w:lvlJc w:val="left"/>
      <w:pPr>
        <w:tabs>
          <w:tab w:val="num" w:pos="720"/>
        </w:tabs>
        <w:ind w:left="720" w:hanging="720"/>
      </w:pPr>
      <w:rPr>
        <w:b/>
      </w:r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571"/>
        </w:tabs>
        <w:ind w:left="1571"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5133913">
    <w:abstractNumId w:val="1"/>
  </w:num>
  <w:num w:numId="2" w16cid:durableId="993876151">
    <w:abstractNumId w:val="0"/>
  </w:num>
  <w:num w:numId="3" w16cid:durableId="121846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9984791">
    <w:abstractNumId w:val="0"/>
    <w:lvlOverride w:ilvl="0">
      <w:startOverride w:val="1"/>
    </w:lvlOverride>
    <w:lvlOverride w:ilvl="1">
      <w:startOverride w:val="2"/>
    </w:lvlOverride>
  </w:num>
  <w:num w:numId="5" w16cid:durableId="410850914">
    <w:abstractNumId w:val="0"/>
  </w:num>
  <w:num w:numId="6" w16cid:durableId="544367221">
    <w:abstractNumId w:val="0"/>
  </w:num>
  <w:num w:numId="7" w16cid:durableId="1691881786">
    <w:abstractNumId w:val="0"/>
  </w:num>
  <w:num w:numId="8" w16cid:durableId="965818136">
    <w:abstractNumId w:val="0"/>
  </w:num>
  <w:num w:numId="9" w16cid:durableId="18259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E"/>
    <w:rsid w:val="000077E0"/>
    <w:rsid w:val="0004539A"/>
    <w:rsid w:val="000759CD"/>
    <w:rsid w:val="00090F46"/>
    <w:rsid w:val="00092BA7"/>
    <w:rsid w:val="000F73A4"/>
    <w:rsid w:val="00114F9E"/>
    <w:rsid w:val="0028327D"/>
    <w:rsid w:val="002B0C46"/>
    <w:rsid w:val="002B4E96"/>
    <w:rsid w:val="002B78CD"/>
    <w:rsid w:val="00347206"/>
    <w:rsid w:val="003570DC"/>
    <w:rsid w:val="003624F1"/>
    <w:rsid w:val="00395B66"/>
    <w:rsid w:val="003A33D0"/>
    <w:rsid w:val="003D719C"/>
    <w:rsid w:val="00441CF9"/>
    <w:rsid w:val="004630DF"/>
    <w:rsid w:val="0048664F"/>
    <w:rsid w:val="004E1B62"/>
    <w:rsid w:val="0059150C"/>
    <w:rsid w:val="00643F14"/>
    <w:rsid w:val="0065712A"/>
    <w:rsid w:val="00661BF9"/>
    <w:rsid w:val="006A4BB4"/>
    <w:rsid w:val="006B42F3"/>
    <w:rsid w:val="006C17C1"/>
    <w:rsid w:val="006C1DEE"/>
    <w:rsid w:val="006D0AD8"/>
    <w:rsid w:val="00761949"/>
    <w:rsid w:val="007C0915"/>
    <w:rsid w:val="00852152"/>
    <w:rsid w:val="00893E5B"/>
    <w:rsid w:val="008F6AE4"/>
    <w:rsid w:val="00933D2B"/>
    <w:rsid w:val="009432FF"/>
    <w:rsid w:val="00951B6E"/>
    <w:rsid w:val="0096460E"/>
    <w:rsid w:val="00973501"/>
    <w:rsid w:val="009B5421"/>
    <w:rsid w:val="009C7080"/>
    <w:rsid w:val="00A9525A"/>
    <w:rsid w:val="00AA0A48"/>
    <w:rsid w:val="00AC3F1D"/>
    <w:rsid w:val="00AE12C9"/>
    <w:rsid w:val="00AF2B1F"/>
    <w:rsid w:val="00AF60CC"/>
    <w:rsid w:val="00B13172"/>
    <w:rsid w:val="00B238E0"/>
    <w:rsid w:val="00C54FE5"/>
    <w:rsid w:val="00CC606C"/>
    <w:rsid w:val="00CD019F"/>
    <w:rsid w:val="00CD7391"/>
    <w:rsid w:val="00CE6713"/>
    <w:rsid w:val="00D31211"/>
    <w:rsid w:val="00D97DD1"/>
    <w:rsid w:val="00EA6139"/>
    <w:rsid w:val="00EB479A"/>
    <w:rsid w:val="00ED40B5"/>
    <w:rsid w:val="00F739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9FB63F"/>
  <w15:chartTrackingRefBased/>
  <w15:docId w15:val="{64638DB1-2DBD-4DD7-A216-E928B41C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B5"/>
    <w:pPr>
      <w:widowControl w:val="0"/>
      <w:spacing w:after="0" w:line="240" w:lineRule="auto"/>
    </w:pPr>
    <w:rPr>
      <w:rFonts w:ascii="Times New Roman" w:eastAsia="Times New Roman" w:hAnsi="Times New Roman" w:cs="Times New Roman"/>
      <w:sz w:val="24"/>
      <w:szCs w:val="20"/>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40B5"/>
    <w:pPr>
      <w:keepNext/>
      <w:spacing w:before="100" w:after="100"/>
      <w:jc w:val="both"/>
    </w:pPr>
  </w:style>
  <w:style w:type="character" w:customStyle="1" w:styleId="BodyTextChar">
    <w:name w:val="Body Text Char"/>
    <w:basedOn w:val="DefaultParagraphFont"/>
    <w:link w:val="BodyText"/>
    <w:rsid w:val="00ED40B5"/>
    <w:rPr>
      <w:rFonts w:ascii="Times New Roman" w:eastAsia="Times New Roman" w:hAnsi="Times New Roman" w:cs="Times New Roman"/>
      <w:sz w:val="24"/>
      <w:szCs w:val="20"/>
      <w:lang w:val="en-GB" w:eastAsia="it-IT"/>
    </w:rPr>
  </w:style>
  <w:style w:type="paragraph" w:styleId="FootnoteText">
    <w:name w:val="footnote text"/>
    <w:basedOn w:val="Normal"/>
    <w:link w:val="FootnoteTextChar"/>
    <w:semiHidden/>
    <w:rsid w:val="00ED40B5"/>
    <w:rPr>
      <w:sz w:val="20"/>
    </w:rPr>
  </w:style>
  <w:style w:type="character" w:customStyle="1" w:styleId="FootnoteTextChar">
    <w:name w:val="Footnote Text Char"/>
    <w:basedOn w:val="DefaultParagraphFont"/>
    <w:link w:val="FootnoteText"/>
    <w:semiHidden/>
    <w:rsid w:val="00ED40B5"/>
    <w:rPr>
      <w:rFonts w:ascii="Times New Roman" w:eastAsia="Times New Roman" w:hAnsi="Times New Roman" w:cs="Times New Roman"/>
      <w:sz w:val="20"/>
      <w:szCs w:val="20"/>
      <w:lang w:val="en-GB" w:eastAsia="it-IT"/>
    </w:rPr>
  </w:style>
  <w:style w:type="character" w:styleId="FootnoteReference">
    <w:name w:val="footnote reference"/>
    <w:semiHidden/>
    <w:rsid w:val="00ED40B5"/>
    <w:rPr>
      <w:sz w:val="20"/>
      <w:vertAlign w:val="superscript"/>
    </w:rPr>
  </w:style>
  <w:style w:type="paragraph" w:customStyle="1" w:styleId="AODocTxt">
    <w:name w:val="AODocTxt"/>
    <w:basedOn w:val="Normal"/>
    <w:rsid w:val="00ED40B5"/>
    <w:pPr>
      <w:widowControl/>
      <w:numPr>
        <w:numId w:val="1"/>
      </w:numPr>
      <w:spacing w:before="240" w:line="260" w:lineRule="atLeast"/>
      <w:jc w:val="both"/>
    </w:pPr>
    <w:rPr>
      <w:sz w:val="22"/>
    </w:rPr>
  </w:style>
  <w:style w:type="paragraph" w:customStyle="1" w:styleId="AODocTxtL1">
    <w:name w:val="AODocTxtL1"/>
    <w:basedOn w:val="AODocTxt"/>
    <w:rsid w:val="00ED40B5"/>
    <w:pPr>
      <w:numPr>
        <w:ilvl w:val="1"/>
      </w:numPr>
    </w:pPr>
  </w:style>
  <w:style w:type="paragraph" w:customStyle="1" w:styleId="AODocTxtL2">
    <w:name w:val="AODocTxtL2"/>
    <w:basedOn w:val="AODocTxt"/>
    <w:rsid w:val="00ED40B5"/>
    <w:pPr>
      <w:numPr>
        <w:ilvl w:val="2"/>
      </w:numPr>
    </w:pPr>
  </w:style>
  <w:style w:type="paragraph" w:customStyle="1" w:styleId="AODocTxtL3">
    <w:name w:val="AODocTxtL3"/>
    <w:basedOn w:val="AODocTxt"/>
    <w:rsid w:val="00ED40B5"/>
    <w:pPr>
      <w:numPr>
        <w:ilvl w:val="3"/>
      </w:numPr>
    </w:pPr>
  </w:style>
  <w:style w:type="paragraph" w:customStyle="1" w:styleId="AODocTxtL4">
    <w:name w:val="AODocTxtL4"/>
    <w:basedOn w:val="AODocTxt"/>
    <w:rsid w:val="00ED40B5"/>
    <w:pPr>
      <w:numPr>
        <w:ilvl w:val="4"/>
      </w:numPr>
    </w:pPr>
  </w:style>
  <w:style w:type="paragraph" w:customStyle="1" w:styleId="AODocTxtL5">
    <w:name w:val="AODocTxtL5"/>
    <w:basedOn w:val="AODocTxt"/>
    <w:rsid w:val="00ED40B5"/>
    <w:pPr>
      <w:numPr>
        <w:ilvl w:val="5"/>
      </w:numPr>
    </w:pPr>
  </w:style>
  <w:style w:type="paragraph" w:customStyle="1" w:styleId="AODocTxtL6">
    <w:name w:val="AODocTxtL6"/>
    <w:basedOn w:val="AODocTxt"/>
    <w:rsid w:val="00ED40B5"/>
    <w:pPr>
      <w:numPr>
        <w:ilvl w:val="6"/>
      </w:numPr>
    </w:pPr>
  </w:style>
  <w:style w:type="paragraph" w:customStyle="1" w:styleId="AODocTxtL7">
    <w:name w:val="AODocTxtL7"/>
    <w:basedOn w:val="AODocTxt"/>
    <w:rsid w:val="00ED40B5"/>
    <w:pPr>
      <w:numPr>
        <w:ilvl w:val="7"/>
      </w:numPr>
    </w:pPr>
  </w:style>
  <w:style w:type="paragraph" w:customStyle="1" w:styleId="AODocTxtL8">
    <w:name w:val="AODocTxtL8"/>
    <w:basedOn w:val="AODocTxt"/>
    <w:rsid w:val="00ED40B5"/>
    <w:pPr>
      <w:numPr>
        <w:ilvl w:val="8"/>
      </w:numPr>
    </w:pPr>
  </w:style>
  <w:style w:type="paragraph" w:customStyle="1" w:styleId="AONormal">
    <w:name w:val="AONormal"/>
    <w:rsid w:val="00ED40B5"/>
    <w:pPr>
      <w:spacing w:after="0" w:line="260" w:lineRule="atLeast"/>
    </w:pPr>
    <w:rPr>
      <w:rFonts w:ascii="Times New Roman" w:eastAsia="SimSun" w:hAnsi="Times New Roman" w:cs="Times New Roman"/>
      <w:lang w:val="it-IT"/>
    </w:rPr>
  </w:style>
  <w:style w:type="paragraph" w:customStyle="1" w:styleId="AOGenNum2">
    <w:name w:val="AOGenNum2"/>
    <w:basedOn w:val="Normal"/>
    <w:next w:val="AOGenNum2Para"/>
    <w:rsid w:val="00ED40B5"/>
    <w:pPr>
      <w:keepNext/>
      <w:widowControl/>
      <w:numPr>
        <w:numId w:val="2"/>
      </w:numPr>
      <w:spacing w:before="240" w:line="260" w:lineRule="atLeast"/>
      <w:jc w:val="both"/>
    </w:pPr>
    <w:rPr>
      <w:rFonts w:eastAsia="SimSun"/>
      <w:b/>
      <w:sz w:val="22"/>
      <w:szCs w:val="22"/>
      <w:lang w:eastAsia="en-US"/>
    </w:rPr>
  </w:style>
  <w:style w:type="paragraph" w:customStyle="1" w:styleId="AOGenNum2Para">
    <w:name w:val="AOGenNum2Para"/>
    <w:basedOn w:val="AOGenNum2"/>
    <w:next w:val="AOGenNum2List"/>
    <w:rsid w:val="00ED40B5"/>
    <w:pPr>
      <w:keepNext w:val="0"/>
      <w:numPr>
        <w:ilvl w:val="1"/>
      </w:numPr>
    </w:pPr>
    <w:rPr>
      <w:b w:val="0"/>
    </w:rPr>
  </w:style>
  <w:style w:type="paragraph" w:customStyle="1" w:styleId="AOGenNum2List">
    <w:name w:val="AOGenNum2List"/>
    <w:basedOn w:val="AOGenNum2"/>
    <w:rsid w:val="00ED40B5"/>
    <w:pPr>
      <w:keepNext w:val="0"/>
      <w:numPr>
        <w:ilvl w:val="2"/>
      </w:numPr>
    </w:pPr>
    <w:rPr>
      <w:b w:val="0"/>
    </w:rPr>
  </w:style>
  <w:style w:type="paragraph" w:styleId="Header">
    <w:name w:val="header"/>
    <w:basedOn w:val="Normal"/>
    <w:link w:val="HeaderChar"/>
    <w:uiPriority w:val="99"/>
    <w:unhideWhenUsed/>
    <w:rsid w:val="00ED40B5"/>
    <w:pPr>
      <w:tabs>
        <w:tab w:val="center" w:pos="4680"/>
        <w:tab w:val="right" w:pos="9360"/>
      </w:tabs>
    </w:pPr>
  </w:style>
  <w:style w:type="character" w:customStyle="1" w:styleId="HeaderChar">
    <w:name w:val="Header Char"/>
    <w:basedOn w:val="DefaultParagraphFont"/>
    <w:link w:val="Header"/>
    <w:uiPriority w:val="99"/>
    <w:rsid w:val="00ED40B5"/>
    <w:rPr>
      <w:rFonts w:ascii="Times New Roman" w:eastAsia="Times New Roman" w:hAnsi="Times New Roman" w:cs="Times New Roman"/>
      <w:sz w:val="24"/>
      <w:szCs w:val="20"/>
      <w:lang w:val="en-GB" w:eastAsia="it-IT"/>
    </w:rPr>
  </w:style>
  <w:style w:type="paragraph" w:styleId="Footer">
    <w:name w:val="footer"/>
    <w:basedOn w:val="Normal"/>
    <w:link w:val="FooterChar"/>
    <w:uiPriority w:val="99"/>
    <w:unhideWhenUsed/>
    <w:rsid w:val="00ED40B5"/>
    <w:pPr>
      <w:tabs>
        <w:tab w:val="center" w:pos="4680"/>
        <w:tab w:val="right" w:pos="9360"/>
      </w:tabs>
    </w:pPr>
  </w:style>
  <w:style w:type="character" w:customStyle="1" w:styleId="FooterChar">
    <w:name w:val="Footer Char"/>
    <w:basedOn w:val="DefaultParagraphFont"/>
    <w:link w:val="Footer"/>
    <w:uiPriority w:val="99"/>
    <w:rsid w:val="00ED40B5"/>
    <w:rPr>
      <w:rFonts w:ascii="Times New Roman" w:eastAsia="Times New Roman" w:hAnsi="Times New Roman" w:cs="Times New Roman"/>
      <w:sz w:val="24"/>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B8C7F-3C0D-486B-A0CC-02C146D9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Roncon Lisa</cp:lastModifiedBy>
  <cp:revision>6</cp:revision>
  <dcterms:created xsi:type="dcterms:W3CDTF">2023-05-19T09:32:00Z</dcterms:created>
  <dcterms:modified xsi:type="dcterms:W3CDTF">2023-06-30T13:35:00Z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[EMEA_ACTIVE 302822745_2]</vt:lpwstr>
  </property>
  <property fmtid="{D5CDD505-2E9C-101B-9397-08002B2CF9AE}" pid="3" name="DocXLocation">
    <vt:lpwstr>Every Page</vt:lpwstr>
  </property>
  <property fmtid="{D5CDD505-2E9C-101B-9397-08002B2CF9AE}" pid="4" name="DocXFormat">
    <vt:lpwstr>CGSH</vt:lpwstr>
  </property>
  <property fmtid="{D5CDD505-2E9C-101B-9397-08002B2CF9AE}" pid="5" name="DOCXDOCIDEMPTY">
    <vt:lpwstr/>
  </property>
</Properties>
</file>