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8B" w:rsidRPr="00BA2367" w:rsidRDefault="002B6E8B" w:rsidP="002B6E8B">
      <w:pPr>
        <w:pStyle w:val="AONormal"/>
        <w:jc w:val="center"/>
        <w:rPr>
          <w:rStyle w:val="Strong"/>
        </w:rPr>
      </w:pPr>
      <w:r w:rsidRPr="00BA2367">
        <w:rPr>
          <w:rStyle w:val="Strong"/>
        </w:rPr>
        <w:t>Contratto per la Capacità Regolata</w:t>
      </w:r>
      <w:r w:rsidRPr="00BA2367">
        <w:rPr>
          <w:rStyle w:val="Strong"/>
        </w:rPr>
        <w:fldChar w:fldCharType="begin"/>
      </w:r>
      <w:r w:rsidRPr="00BA2367">
        <w:rPr>
          <w:rStyle w:val="Strong"/>
        </w:rPr>
        <w:instrText xml:space="preserve"> TC "</w:instrText>
      </w:r>
      <w:bookmarkStart w:id="0" w:name="_Toc288726261"/>
      <w:r w:rsidRPr="00BA2367">
        <w:rPr>
          <w:rStyle w:val="Strong"/>
        </w:rPr>
        <w:instrText>-</w:instrText>
      </w:r>
      <w:r w:rsidRPr="00BA2367">
        <w:rPr>
          <w:rStyle w:val="Strong"/>
        </w:rPr>
        <w:tab/>
        <w:instrText>Contratto per la Capacità [Regolata]</w:instrText>
      </w:r>
      <w:bookmarkEnd w:id="0"/>
      <w:r w:rsidRPr="00BA2367">
        <w:rPr>
          <w:rStyle w:val="Strong"/>
        </w:rPr>
        <w:instrText xml:space="preserve">" \f C \l "4" </w:instrText>
      </w:r>
      <w:r w:rsidRPr="00BA2367">
        <w:rPr>
          <w:rStyle w:val="Strong"/>
        </w:rPr>
        <w:fldChar w:fldCharType="end"/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Il presente Contratto per la Capacità Regolata</w:t>
      </w:r>
      <w:r w:rsidRPr="000A6889">
        <w:rPr>
          <w:rFonts w:ascii="Times New Roman" w:hAnsi="Times New Roman"/>
          <w:b/>
          <w:lang w:val="it-IT"/>
        </w:rPr>
        <w:t xml:space="preserve"> </w:t>
      </w:r>
      <w:r w:rsidRPr="000A6889">
        <w:rPr>
          <w:rFonts w:ascii="Times New Roman" w:hAnsi="Times New Roman"/>
          <w:lang w:val="it-IT"/>
        </w:rPr>
        <w:t>(il</w:t>
      </w:r>
      <w:r w:rsidRPr="000A6889">
        <w:rPr>
          <w:rFonts w:ascii="Times New Roman" w:hAnsi="Times New Roman"/>
          <w:b/>
          <w:lang w:val="it-IT"/>
        </w:rPr>
        <w:t xml:space="preserve"> </w:t>
      </w:r>
      <w:r w:rsidRPr="000A6889">
        <w:rPr>
          <w:rFonts w:ascii="Times New Roman" w:hAnsi="Times New Roman"/>
          <w:lang w:val="it-IT"/>
        </w:rPr>
        <w:t>“</w:t>
      </w:r>
      <w:r w:rsidRPr="000A6889">
        <w:rPr>
          <w:rFonts w:ascii="Times New Roman" w:hAnsi="Times New Roman"/>
          <w:b/>
          <w:lang w:val="it-IT"/>
        </w:rPr>
        <w:t>Contratto per la Capacità</w:t>
      </w:r>
      <w:r w:rsidRPr="000A6889">
        <w:rPr>
          <w:rFonts w:ascii="Times New Roman" w:hAnsi="Times New Roman"/>
          <w:lang w:val="it-IT"/>
        </w:rPr>
        <w:t>”) è stipulato da [</w:t>
      </w:r>
      <w:r w:rsidRPr="000A6889">
        <w:rPr>
          <w:rFonts w:ascii="Times New Roman" w:hAnsi="Times New Roman"/>
          <w:i/>
          <w:lang w:val="it-IT"/>
        </w:rPr>
        <w:t>Utente</w:t>
      </w:r>
      <w:r w:rsidRPr="000A6889">
        <w:rPr>
          <w:rFonts w:ascii="Times New Roman" w:hAnsi="Times New Roman"/>
          <w:lang w:val="it-IT"/>
        </w:rPr>
        <w:t>], una società costituita ed esistente ai sensi della legge del [</w:t>
      </w:r>
      <w:r w:rsidRPr="000A6889">
        <w:rPr>
          <w:rFonts w:ascii="Times New Roman" w:hAnsi="Times New Roman"/>
          <w:i/>
          <w:lang w:val="it-IT"/>
        </w:rPr>
        <w:t>Stato in cui l'Utente è stato costituito</w:t>
      </w:r>
      <w:r w:rsidRPr="000A6889">
        <w:rPr>
          <w:rFonts w:ascii="Times New Roman" w:hAnsi="Times New Roman"/>
          <w:lang w:val="it-IT"/>
        </w:rPr>
        <w:t>], iscritta presso il [</w:t>
      </w:r>
      <w:r w:rsidRPr="000A6889">
        <w:rPr>
          <w:rFonts w:ascii="Times New Roman" w:hAnsi="Times New Roman"/>
          <w:i/>
          <w:lang w:val="it-IT"/>
        </w:rPr>
        <w:t>Registro delle Imprese o analogo registro</w:t>
      </w:r>
      <w:r w:rsidRPr="000A6889">
        <w:rPr>
          <w:rFonts w:ascii="Times New Roman" w:hAnsi="Times New Roman"/>
          <w:lang w:val="it-IT"/>
        </w:rPr>
        <w:t>] al numero [</w:t>
      </w:r>
      <w:r w:rsidRPr="000A6889">
        <w:rPr>
          <w:rFonts w:ascii="Times New Roman" w:hAnsi="Times New Roman"/>
          <w:i/>
          <w:lang w:val="it-IT"/>
        </w:rPr>
        <w:t>numero di registrazione</w:t>
      </w:r>
      <w:r w:rsidRPr="000A6889">
        <w:rPr>
          <w:rFonts w:ascii="Times New Roman" w:hAnsi="Times New Roman"/>
          <w:lang w:val="it-IT"/>
        </w:rPr>
        <w:t>], codice fiscale [</w:t>
      </w:r>
      <w:r w:rsidRPr="000A6889">
        <w:rPr>
          <w:rFonts w:ascii="Times New Roman" w:hAnsi="Times New Roman"/>
          <w:i/>
          <w:lang w:val="it-IT"/>
        </w:rPr>
        <w:t>codice fiscale</w:t>
      </w:r>
      <w:r w:rsidRPr="000A6889">
        <w:rPr>
          <w:rFonts w:ascii="Times New Roman" w:hAnsi="Times New Roman"/>
          <w:lang w:val="it-IT"/>
        </w:rPr>
        <w:t>], con sede principale in [</w:t>
      </w:r>
      <w:r w:rsidRPr="000A6889">
        <w:rPr>
          <w:rFonts w:ascii="Times New Roman" w:hAnsi="Times New Roman"/>
          <w:i/>
          <w:lang w:val="it-IT"/>
        </w:rPr>
        <w:t>indirizzo dell'Utente</w:t>
      </w:r>
      <w:r w:rsidRPr="000A6889">
        <w:rPr>
          <w:rFonts w:ascii="Times New Roman" w:hAnsi="Times New Roman"/>
          <w:lang w:val="it-IT"/>
        </w:rPr>
        <w:t>] (l'"</w:t>
      </w:r>
      <w:r w:rsidRPr="000A6889">
        <w:rPr>
          <w:rFonts w:ascii="Times New Roman" w:hAnsi="Times New Roman"/>
          <w:b/>
          <w:lang w:val="it-IT"/>
        </w:rPr>
        <w:t>Utente</w:t>
      </w:r>
      <w:r w:rsidRPr="000A6889">
        <w:rPr>
          <w:rFonts w:ascii="Times New Roman" w:hAnsi="Times New Roman"/>
          <w:lang w:val="it-IT"/>
        </w:rPr>
        <w:t>")</w:t>
      </w:r>
      <w:r w:rsidRPr="000A6889">
        <w:rPr>
          <w:rStyle w:val="FootnoteReference"/>
          <w:rFonts w:ascii="Times New Roman" w:hAnsi="Times New Roman"/>
        </w:rPr>
        <w:footnoteReference w:id="1"/>
      </w:r>
      <w:r w:rsidRPr="000A6889">
        <w:rPr>
          <w:rFonts w:ascii="Times New Roman" w:hAnsi="Times New Roman"/>
          <w:lang w:val="it-IT"/>
        </w:rPr>
        <w:t xml:space="preserve"> e </w:t>
      </w:r>
      <w:r w:rsidRPr="000A6889">
        <w:rPr>
          <w:rFonts w:ascii="Times New Roman" w:hAnsi="Times New Roman"/>
          <w:b/>
          <w:lang w:val="it-IT"/>
        </w:rPr>
        <w:t>Terminale GNL Adriatico S.r.l.</w:t>
      </w:r>
      <w:r w:rsidRPr="000A6889">
        <w:rPr>
          <w:rFonts w:ascii="Times New Roman" w:hAnsi="Times New Roman"/>
          <w:lang w:val="it-IT"/>
        </w:rPr>
        <w:t>, una società costituita ed esistente ai sensi della legge italiana, iscritta al Registro delle Imprese di Milano al numero 1788519, codice fiscale/partita I.V.</w:t>
      </w:r>
      <w:r w:rsidRPr="00966215">
        <w:rPr>
          <w:rFonts w:ascii="Times New Roman" w:hAnsi="Times New Roman"/>
          <w:lang w:val="it-IT"/>
        </w:rPr>
        <w:t>A. 13289520150, la cui sede principale si trova in Piazza Sigmund Freud 1, 20154 Milano, Italia (il "</w:t>
      </w:r>
      <w:r w:rsidRPr="00966215">
        <w:rPr>
          <w:rFonts w:ascii="Times New Roman" w:hAnsi="Times New Roman"/>
          <w:b/>
          <w:lang w:val="it-IT"/>
        </w:rPr>
        <w:t>Gestore</w:t>
      </w:r>
      <w:r w:rsidRPr="00966215">
        <w:rPr>
          <w:rFonts w:ascii="Times New Roman" w:hAnsi="Times New Roman"/>
          <w:lang w:val="it-IT"/>
        </w:rPr>
        <w:t>"). L'Utente ed il Gestore sono definiti</w:t>
      </w:r>
      <w:r w:rsidRPr="000A6889">
        <w:rPr>
          <w:rFonts w:ascii="Times New Roman" w:hAnsi="Times New Roman"/>
          <w:lang w:val="it-IT"/>
        </w:rPr>
        <w:t>, congiuntamente, le "</w:t>
      </w:r>
      <w:r w:rsidRPr="000A6889">
        <w:rPr>
          <w:rFonts w:ascii="Times New Roman" w:hAnsi="Times New Roman"/>
          <w:b/>
          <w:lang w:val="it-IT"/>
        </w:rPr>
        <w:t>Parti</w:t>
      </w:r>
      <w:r w:rsidRPr="000A6889">
        <w:rPr>
          <w:rFonts w:ascii="Times New Roman" w:hAnsi="Times New Roman"/>
          <w:lang w:val="it-IT"/>
        </w:rPr>
        <w:t>".</w:t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jc w:val="center"/>
        <w:rPr>
          <w:rFonts w:ascii="Times New Roman" w:hAnsi="Times New Roman"/>
          <w:b/>
          <w:lang w:val="it-IT"/>
        </w:rPr>
      </w:pPr>
      <w:r w:rsidRPr="000A6889">
        <w:rPr>
          <w:rFonts w:ascii="Times New Roman" w:hAnsi="Times New Roman"/>
          <w:b/>
          <w:lang w:val="it-IT"/>
        </w:rPr>
        <w:t>PREMESSE</w:t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 xml:space="preserve">In data </w:t>
      </w:r>
      <w:r w:rsidRPr="000A6889">
        <w:rPr>
          <w:rFonts w:ascii="Times New Roman" w:eastAsia="Times New Roman" w:hAnsi="Times New Roman"/>
          <w:lang w:val="it-IT" w:eastAsia="it-IT"/>
        </w:rPr>
        <w:t xml:space="preserve">15 </w:t>
      </w:r>
      <w:r>
        <w:rPr>
          <w:rFonts w:ascii="Times New Roman" w:eastAsia="Times New Roman" w:hAnsi="Times New Roman"/>
          <w:lang w:val="it-IT" w:eastAsia="it-IT"/>
        </w:rPr>
        <w:t>f</w:t>
      </w:r>
      <w:r w:rsidRPr="000A6889">
        <w:rPr>
          <w:rFonts w:ascii="Times New Roman" w:eastAsia="Times New Roman" w:hAnsi="Times New Roman"/>
          <w:lang w:val="it-IT" w:eastAsia="it-IT"/>
        </w:rPr>
        <w:t>ebbraio 2010</w:t>
      </w:r>
      <w:r w:rsidRPr="000A6889">
        <w:rPr>
          <w:rFonts w:ascii="Times New Roman" w:hAnsi="Times New Roman"/>
          <w:lang w:val="it-IT"/>
        </w:rPr>
        <w:t xml:space="preserve"> il Gestore ha adottato un codice di accesso (il "</w:t>
      </w:r>
      <w:r w:rsidRPr="000A6889">
        <w:rPr>
          <w:rFonts w:ascii="Times New Roman" w:hAnsi="Times New Roman"/>
          <w:b/>
          <w:lang w:val="it-IT"/>
        </w:rPr>
        <w:t>Codice di</w:t>
      </w:r>
      <w:r w:rsidRPr="000A6889">
        <w:rPr>
          <w:rFonts w:ascii="Times New Roman" w:hAnsi="Times New Roman"/>
          <w:lang w:val="it-IT"/>
        </w:rPr>
        <w:t xml:space="preserve"> Rigassificazione ") contenente le condizioni per l'accesso al terminale di rigassificazione di proprietà del Gestore, ubicato a circa 17 km al largo di Porto Levante (Rovigo), Italia.</w:t>
      </w:r>
    </w:p>
    <w:p w:rsidR="002B6E8B" w:rsidRPr="00EB3522" w:rsidRDefault="002B6E8B" w:rsidP="002B6E8B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bookmarkStart w:id="1" w:name="OLE_LINK1"/>
      <w:r w:rsidRPr="000A6889">
        <w:rPr>
          <w:rFonts w:ascii="Times New Roman" w:hAnsi="Times New Roman"/>
          <w:lang w:val="it-IT"/>
        </w:rPr>
        <w:t xml:space="preserve">In data </w:t>
      </w:r>
      <w:r w:rsidRPr="000A6889">
        <w:rPr>
          <w:rFonts w:ascii="Times New Roman" w:eastAsia="Times New Roman" w:hAnsi="Times New Roman"/>
          <w:lang w:val="it-IT" w:eastAsia="it-IT"/>
        </w:rPr>
        <w:t xml:space="preserve">12 </w:t>
      </w:r>
      <w:r>
        <w:rPr>
          <w:rFonts w:ascii="Times New Roman" w:eastAsia="Times New Roman" w:hAnsi="Times New Roman"/>
          <w:lang w:val="it-IT" w:eastAsia="it-IT"/>
        </w:rPr>
        <w:t>m</w:t>
      </w:r>
      <w:r w:rsidRPr="000A6889">
        <w:rPr>
          <w:rFonts w:ascii="Times New Roman" w:eastAsia="Times New Roman" w:hAnsi="Times New Roman"/>
          <w:lang w:val="it-IT" w:eastAsia="it-IT"/>
        </w:rPr>
        <w:t>aggio 2011</w:t>
      </w:r>
      <w:bookmarkEnd w:id="1"/>
      <w:r w:rsidRPr="000A6889">
        <w:rPr>
          <w:rFonts w:ascii="Times New Roman" w:hAnsi="Times New Roman"/>
          <w:lang w:val="it-IT"/>
        </w:rPr>
        <w:t xml:space="preserve"> il Codice di Rigassificazione è </w:t>
      </w:r>
      <w:r w:rsidRPr="00EB3522">
        <w:rPr>
          <w:rFonts w:ascii="Times New Roman" w:hAnsi="Times New Roman"/>
          <w:lang w:val="it-IT"/>
        </w:rPr>
        <w:t xml:space="preserve">stato approvato dall' ARERA, mediante la Delibera n. </w:t>
      </w:r>
      <w:proofErr w:type="spellStart"/>
      <w:r w:rsidRPr="00EB3522">
        <w:rPr>
          <w:rFonts w:ascii="Times New Roman" w:eastAsia="Times New Roman" w:hAnsi="Times New Roman"/>
          <w:lang w:val="it-IT" w:eastAsia="it-IT"/>
        </w:rPr>
        <w:t>Arg</w:t>
      </w:r>
      <w:proofErr w:type="spellEnd"/>
      <w:r w:rsidRPr="00EB3522">
        <w:rPr>
          <w:rFonts w:ascii="Times New Roman" w:eastAsia="Times New Roman" w:hAnsi="Times New Roman"/>
          <w:lang w:val="it-IT" w:eastAsia="it-IT"/>
        </w:rPr>
        <w:t>/Gas n. 57/11</w:t>
      </w:r>
      <w:r w:rsidRPr="00EB3522">
        <w:rPr>
          <w:rFonts w:ascii="Times New Roman" w:hAnsi="Times New Roman"/>
          <w:lang w:val="it-IT"/>
        </w:rPr>
        <w:t>, ai sensi dell'articolo 24, comma V, del decreto legislativo n. 164/2000.</w:t>
      </w:r>
    </w:p>
    <w:p w:rsidR="002B6E8B" w:rsidRPr="00EB3522" w:rsidRDefault="002B6E8B" w:rsidP="002B6E8B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EB3522">
        <w:rPr>
          <w:rFonts w:ascii="Times New Roman" w:hAnsi="Times New Roman"/>
          <w:lang w:val="it-IT"/>
        </w:rPr>
        <w:t xml:space="preserve">Il Gestore, ai sensi dell'articolo </w:t>
      </w:r>
      <w:r w:rsidRPr="00EB3522">
        <w:rPr>
          <w:rFonts w:ascii="Times New Roman" w:hAnsi="Times New Roman"/>
          <w:lang w:val="it-IT"/>
        </w:rPr>
        <w:fldChar w:fldCharType="begin"/>
      </w:r>
      <w:r w:rsidRPr="00EB3522">
        <w:rPr>
          <w:rFonts w:ascii="Times New Roman" w:hAnsi="Times New Roman"/>
          <w:lang w:val="it-IT"/>
        </w:rPr>
        <w:instrText xml:space="preserve"> REF _Ref425779482 \n \h </w:instrText>
      </w:r>
      <w:r>
        <w:rPr>
          <w:rFonts w:ascii="Times New Roman" w:hAnsi="Times New Roman"/>
          <w:lang w:val="it-IT"/>
        </w:rPr>
        <w:instrText xml:space="preserve"> \* MERGEFORMAT </w:instrText>
      </w:r>
      <w:r w:rsidRPr="00EB3522">
        <w:rPr>
          <w:rFonts w:ascii="Times New Roman" w:hAnsi="Times New Roman"/>
          <w:lang w:val="it-IT"/>
        </w:rPr>
      </w:r>
      <w:r w:rsidRPr="00EB3522"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II.2.3</w:t>
      </w:r>
      <w:r w:rsidRPr="00EB3522">
        <w:rPr>
          <w:rFonts w:ascii="Times New Roman" w:hAnsi="Times New Roman"/>
          <w:lang w:val="it-IT"/>
        </w:rPr>
        <w:fldChar w:fldCharType="end"/>
      </w:r>
      <w:r w:rsidRPr="00EB3522">
        <w:rPr>
          <w:rFonts w:ascii="Times New Roman" w:hAnsi="Times New Roman"/>
          <w:lang w:val="it-IT"/>
        </w:rPr>
        <w:t xml:space="preserve"> del Codice di  Rigassificazione, ha pubblicato sul suo Sistema di Comunicazione Elettronico: i) la Capacità</w:t>
      </w:r>
      <w:r w:rsidRPr="00EB3522">
        <w:rPr>
          <w:rFonts w:ascii="Times New Roman" w:hAnsi="Times New Roman"/>
          <w:b/>
          <w:lang w:val="it-IT"/>
        </w:rPr>
        <w:t xml:space="preserve"> </w:t>
      </w:r>
      <w:r w:rsidRPr="00EB3522">
        <w:rPr>
          <w:rFonts w:ascii="Times New Roman" w:hAnsi="Times New Roman"/>
          <w:lang w:val="it-IT"/>
        </w:rPr>
        <w:t>Disponibile;</w:t>
      </w:r>
      <w:r w:rsidRPr="00EB3522">
        <w:rPr>
          <w:rFonts w:ascii="Times New Roman" w:hAnsi="Times New Roman"/>
          <w:b/>
          <w:lang w:val="it-IT"/>
        </w:rPr>
        <w:t xml:space="preserve"> </w:t>
      </w:r>
      <w:r w:rsidRPr="00EB3522">
        <w:rPr>
          <w:rFonts w:ascii="Times New Roman" w:hAnsi="Times New Roman"/>
          <w:lang w:val="it-IT"/>
        </w:rPr>
        <w:t>e ii) il numero e la tempistica, se nota, degli Slot di Discarica disponibili in ciascun Mese.</w:t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EB3522">
        <w:rPr>
          <w:rFonts w:ascii="Times New Roman" w:hAnsi="Times New Roman"/>
          <w:lang w:val="it-IT"/>
        </w:rPr>
        <w:t xml:space="preserve">In data [inserire data] l’Utente ha presentato una Richiesta di Accesso per </w:t>
      </w:r>
      <w:r w:rsidRPr="00EB3522">
        <w:rPr>
          <w:rFonts w:ascii="Times New Roman" w:hAnsi="Times New Roman"/>
          <w:i/>
          <w:lang w:val="it-IT"/>
        </w:rPr>
        <w:t>Capacità Disponibile</w:t>
      </w:r>
      <w:r w:rsidRPr="00EB3522">
        <w:rPr>
          <w:rFonts w:ascii="Times New Roman" w:hAnsi="Times New Roman"/>
          <w:lang w:val="it-IT"/>
        </w:rPr>
        <w:t xml:space="preserve">, inclusi, </w:t>
      </w:r>
      <w:r w:rsidRPr="00EB3522">
        <w:rPr>
          <w:rFonts w:ascii="Times New Roman" w:hAnsi="Times New Roman"/>
          <w:i/>
          <w:lang w:val="it-IT"/>
        </w:rPr>
        <w:t>inter alia</w:t>
      </w:r>
      <w:r w:rsidRPr="00EB3522">
        <w:rPr>
          <w:rFonts w:ascii="Times New Roman" w:hAnsi="Times New Roman"/>
          <w:lang w:val="it-IT"/>
        </w:rPr>
        <w:t xml:space="preserve">, i dati e le dichiarazioni specificati nell’articolo </w:t>
      </w:r>
      <w:r w:rsidRPr="00EB3522">
        <w:rPr>
          <w:rFonts w:ascii="Times New Roman" w:hAnsi="Times New Roman"/>
          <w:lang w:val="it-IT"/>
        </w:rPr>
        <w:fldChar w:fldCharType="begin"/>
      </w:r>
      <w:r w:rsidRPr="00EB3522">
        <w:rPr>
          <w:rFonts w:ascii="Times New Roman" w:hAnsi="Times New Roman"/>
          <w:lang w:val="it-IT"/>
        </w:rPr>
        <w:instrText xml:space="preserve"> REF _Ref425589413 \n \h </w:instrText>
      </w:r>
      <w:r>
        <w:rPr>
          <w:rFonts w:ascii="Times New Roman" w:hAnsi="Times New Roman"/>
          <w:lang w:val="it-IT"/>
        </w:rPr>
        <w:instrText xml:space="preserve"> \* MERGEFORMAT </w:instrText>
      </w:r>
      <w:r w:rsidRPr="00EB3522">
        <w:rPr>
          <w:rFonts w:ascii="Times New Roman" w:hAnsi="Times New Roman"/>
          <w:lang w:val="it-IT"/>
        </w:rPr>
      </w:r>
      <w:r w:rsidRPr="00EB3522"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2.4.5</w:t>
      </w:r>
      <w:r w:rsidRPr="00EB3522">
        <w:rPr>
          <w:rFonts w:ascii="Times New Roman" w:hAnsi="Times New Roman"/>
          <w:lang w:val="it-IT"/>
        </w:rPr>
        <w:fldChar w:fldCharType="end"/>
      </w:r>
      <w:r w:rsidRPr="00EB3522">
        <w:rPr>
          <w:rFonts w:ascii="Times New Roman" w:hAnsi="Times New Roman"/>
          <w:lang w:val="it-IT"/>
        </w:rPr>
        <w:fldChar w:fldCharType="begin"/>
      </w:r>
      <w:r w:rsidRPr="00EB3522">
        <w:rPr>
          <w:rFonts w:ascii="Times New Roman" w:hAnsi="Times New Roman"/>
          <w:lang w:val="it-IT"/>
        </w:rPr>
        <w:instrText xml:space="preserve"> REF _Ref425589429 \n \h </w:instrText>
      </w:r>
      <w:r>
        <w:rPr>
          <w:rFonts w:ascii="Times New Roman" w:hAnsi="Times New Roman"/>
          <w:lang w:val="it-IT"/>
        </w:rPr>
        <w:instrText xml:space="preserve"> \* MERGEFORMAT </w:instrText>
      </w:r>
      <w:r w:rsidRPr="00EB3522">
        <w:rPr>
          <w:rFonts w:ascii="Times New Roman" w:hAnsi="Times New Roman"/>
          <w:lang w:val="it-IT"/>
        </w:rPr>
      </w:r>
      <w:r w:rsidRPr="00EB3522"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(a)</w:t>
      </w:r>
      <w:r w:rsidRPr="00EB3522">
        <w:rPr>
          <w:rFonts w:ascii="Times New Roman" w:hAnsi="Times New Roman"/>
          <w:lang w:val="it-IT"/>
        </w:rPr>
        <w:fldChar w:fldCharType="end"/>
      </w:r>
      <w:r w:rsidRPr="00EB3522">
        <w:rPr>
          <w:rFonts w:ascii="Times New Roman" w:hAnsi="Times New Roman"/>
          <w:lang w:val="it-IT"/>
        </w:rPr>
        <w:t xml:space="preserve"> del capitolo II del Codice</w:t>
      </w:r>
      <w:r w:rsidRPr="000A6889">
        <w:rPr>
          <w:rFonts w:ascii="Times New Roman" w:hAnsi="Times New Roman"/>
          <w:lang w:val="it-IT"/>
        </w:rPr>
        <w:t xml:space="preserve"> di Rigassificazione</w:t>
      </w:r>
      <w:r w:rsidR="001B4FA8">
        <w:rPr>
          <w:rFonts w:ascii="Times New Roman" w:hAnsi="Times New Roman"/>
          <w:lang w:val="it-IT"/>
        </w:rPr>
        <w:t>.</w:t>
      </w:r>
      <w:r w:rsidRPr="000A6889">
        <w:rPr>
          <w:rFonts w:ascii="Times New Roman" w:hAnsi="Times New Roman"/>
          <w:lang w:val="it-IT"/>
        </w:rPr>
        <w:t xml:space="preserve"> </w:t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b/>
          <w:lang w:val="it-IT"/>
        </w:rPr>
        <w:t xml:space="preserve">TUTTO CIÒ PREMESSO E CONSIDERATO, </w:t>
      </w:r>
      <w:r w:rsidRPr="000A6889">
        <w:rPr>
          <w:rFonts w:ascii="Times New Roman" w:hAnsi="Times New Roman"/>
          <w:lang w:val="it-IT"/>
        </w:rPr>
        <w:t>l'Utente ed il Gestore concordano quanto segue:</w:t>
      </w:r>
    </w:p>
    <w:p w:rsidR="002B6E8B" w:rsidRPr="000A6889" w:rsidRDefault="002B6E8B" w:rsidP="002B6E8B">
      <w:pPr>
        <w:pStyle w:val="AOGenNum2"/>
        <w:jc w:val="left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Premesse e Definizioni</w:t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ind w:left="709" w:hanging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1.1</w:t>
      </w:r>
      <w:r w:rsidRPr="000A6889">
        <w:rPr>
          <w:rFonts w:ascii="Times New Roman" w:hAnsi="Times New Roman"/>
          <w:lang w:val="it-IT"/>
        </w:rPr>
        <w:tab/>
        <w:t xml:space="preserve">Le premesse sono incorporate nel, e formano parte integrante ed essenziale del, presente Contratto per la Capacità.   </w:t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ind w:left="709" w:hanging="709"/>
        <w:rPr>
          <w:rFonts w:ascii="Times New Roman" w:hAnsi="Times New Roman"/>
          <w:b/>
          <w:lang w:val="it-IT"/>
        </w:rPr>
      </w:pPr>
      <w:r w:rsidRPr="000A6889">
        <w:rPr>
          <w:rFonts w:ascii="Times New Roman" w:hAnsi="Times New Roman"/>
          <w:lang w:val="it-IT"/>
        </w:rPr>
        <w:t>1.2</w:t>
      </w:r>
      <w:r w:rsidRPr="000A6889">
        <w:rPr>
          <w:rFonts w:ascii="Times New Roman" w:hAnsi="Times New Roman"/>
          <w:lang w:val="it-IT"/>
        </w:rPr>
        <w:tab/>
        <w:t>Tutti i termini definiti utilizzati nel Contratto per la Capacità</w:t>
      </w:r>
      <w:r w:rsidRPr="000A6889">
        <w:rPr>
          <w:rFonts w:ascii="Times New Roman" w:hAnsi="Times New Roman"/>
          <w:b/>
          <w:lang w:val="it-IT"/>
        </w:rPr>
        <w:t xml:space="preserve"> </w:t>
      </w:r>
      <w:r w:rsidRPr="000A6889">
        <w:rPr>
          <w:rFonts w:ascii="Times New Roman" w:hAnsi="Times New Roman"/>
          <w:lang w:val="it-IT"/>
        </w:rPr>
        <w:t xml:space="preserve">avranno il significato ad essi attribuito all'articolo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_Ref425589465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I.1.1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del Codice di Rigassificazione.</w:t>
      </w:r>
    </w:p>
    <w:p w:rsidR="002B6E8B" w:rsidRPr="000A6889" w:rsidRDefault="002B6E8B" w:rsidP="002B6E8B">
      <w:pPr>
        <w:pStyle w:val="AOGenNum2"/>
        <w:jc w:val="left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Oggetto e durata</w:t>
      </w:r>
    </w:p>
    <w:p w:rsidR="002B6E8B" w:rsidRPr="00CE7850" w:rsidRDefault="002B6E8B" w:rsidP="002B6E8B">
      <w:pPr>
        <w:pStyle w:val="AOGenNum2Para"/>
        <w:rPr>
          <w:rFonts w:ascii="Times New Roman" w:hAnsi="Times New Roman"/>
          <w:lang w:val="it-IT"/>
        </w:rPr>
      </w:pPr>
      <w:r w:rsidRPr="00CE7850">
        <w:rPr>
          <w:rFonts w:ascii="Times New Roman" w:hAnsi="Times New Roman"/>
          <w:lang w:val="it-IT"/>
        </w:rPr>
        <w:t>Il Gestore conferisce all'Utente, e l'Utente sottoscrive, la Capacità Regolata per le quantità di seguito indicate.</w:t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rPr>
          <w:rFonts w:ascii="Times New Roman" w:hAnsi="Times New Roman"/>
          <w:lang w:val="it-IT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1695"/>
        <w:gridCol w:w="1696"/>
        <w:gridCol w:w="1695"/>
        <w:gridCol w:w="1696"/>
        <w:gridCol w:w="1696"/>
      </w:tblGrid>
      <w:tr w:rsidR="002B6E8B" w:rsidRPr="000A6889" w:rsidTr="00715DA6">
        <w:tc>
          <w:tcPr>
            <w:tcW w:w="1695" w:type="dxa"/>
          </w:tcPr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b/>
                <w:lang w:val="it-IT"/>
              </w:rPr>
              <w:lastRenderedPageBreak/>
              <w:t>Volume di GNL (m</w:t>
            </w:r>
            <w:r w:rsidRPr="000A6889">
              <w:rPr>
                <w:rFonts w:ascii="Times New Roman" w:hAnsi="Times New Roman"/>
                <w:b/>
                <w:vertAlign w:val="superscript"/>
                <w:lang w:val="it-IT"/>
              </w:rPr>
              <w:t>3</w:t>
            </w:r>
            <w:r w:rsidRPr="000A6889">
              <w:rPr>
                <w:rFonts w:ascii="Times New Roman" w:hAnsi="Times New Roman"/>
                <w:b/>
                <w:lang w:val="it-IT"/>
              </w:rPr>
              <w:t>/Slot di Discarica)</w:t>
            </w:r>
          </w:p>
        </w:tc>
        <w:tc>
          <w:tcPr>
            <w:tcW w:w="1696" w:type="dxa"/>
          </w:tcPr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b/>
                <w:lang w:val="it-IT"/>
              </w:rPr>
              <w:t>Anno e Mese</w:t>
            </w:r>
          </w:p>
        </w:tc>
        <w:tc>
          <w:tcPr>
            <w:tcW w:w="1695" w:type="dxa"/>
          </w:tcPr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b/>
                <w:lang w:val="it-IT"/>
              </w:rPr>
              <w:t>Numero di Slot di Discarica (per ciascun Mese)</w:t>
            </w:r>
          </w:p>
        </w:tc>
        <w:tc>
          <w:tcPr>
            <w:tcW w:w="1696" w:type="dxa"/>
          </w:tcPr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b/>
                <w:lang w:val="it-IT"/>
              </w:rPr>
              <w:t>Tempistica (se applicabile) di ciascuno Slot di Discarica</w:t>
            </w:r>
          </w:p>
        </w:tc>
        <w:tc>
          <w:tcPr>
            <w:tcW w:w="1696" w:type="dxa"/>
          </w:tcPr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0A6889">
              <w:rPr>
                <w:rFonts w:ascii="Times New Roman" w:hAnsi="Times New Roman"/>
                <w:b/>
                <w:lang w:val="it-IT"/>
              </w:rPr>
              <w:t>Capacità Regolata</w:t>
            </w:r>
          </w:p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0A6889">
              <w:rPr>
                <w:rFonts w:ascii="Times New Roman" w:hAnsi="Times New Roman"/>
                <w:b/>
                <w:lang w:val="it-IT"/>
              </w:rPr>
              <w:t xml:space="preserve"> Sottoscritta</w:t>
            </w:r>
          </w:p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0A6889">
              <w:rPr>
                <w:rFonts w:ascii="Times New Roman" w:hAnsi="Times New Roman"/>
                <w:b/>
                <w:lang w:val="it-IT"/>
              </w:rPr>
              <w:t>(valore energetico indicativo in TJ)</w:t>
            </w:r>
          </w:p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2B6E8B" w:rsidRPr="000A6889" w:rsidTr="00715DA6">
        <w:tc>
          <w:tcPr>
            <w:tcW w:w="1695" w:type="dxa"/>
          </w:tcPr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96" w:type="dxa"/>
          </w:tcPr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95" w:type="dxa"/>
          </w:tcPr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96" w:type="dxa"/>
          </w:tcPr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96" w:type="dxa"/>
          </w:tcPr>
          <w:p w:rsidR="002B6E8B" w:rsidRPr="000A6889" w:rsidRDefault="002B6E8B" w:rsidP="00715DA6">
            <w:pPr>
              <w:pStyle w:val="AODocTx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lang w:val="it-IT"/>
              </w:rPr>
            </w:pPr>
          </w:p>
        </w:tc>
      </w:tr>
    </w:tbl>
    <w:p w:rsidR="002B6E8B" w:rsidRPr="000A6889" w:rsidRDefault="002B6E8B" w:rsidP="002B6E8B">
      <w:pPr>
        <w:pStyle w:val="AOGenNum2Para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La data di scadenza del Contratto per la Capacità è il [</w:t>
      </w:r>
      <w:r w:rsidRPr="000A6889">
        <w:rPr>
          <w:rFonts w:ascii="Times New Roman" w:hAnsi="Times New Roman"/>
          <w:i/>
          <w:lang w:val="it-IT"/>
        </w:rPr>
        <w:t>inserire la data corrispondente al 90° (novantesimo) Giorno successivo alla data dell'ultima Discarica richiesta</w:t>
      </w:r>
      <w:r w:rsidRPr="000A6889">
        <w:rPr>
          <w:rFonts w:ascii="Times New Roman" w:hAnsi="Times New Roman"/>
          <w:lang w:val="it-IT"/>
        </w:rPr>
        <w:t>]. La scadenza del presente Contratto per la Capacità non avrà effetti sulle obbligazioni e/o responsabilità che siano sorte prima della data di scadenza.</w:t>
      </w:r>
    </w:p>
    <w:p w:rsidR="002B6E8B" w:rsidRPr="000A6889" w:rsidRDefault="002B6E8B" w:rsidP="002B6E8B">
      <w:pPr>
        <w:pStyle w:val="AOGenNum2"/>
        <w:jc w:val="left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Corrispettivi</w:t>
      </w:r>
    </w:p>
    <w:p w:rsidR="002B6E8B" w:rsidRPr="000A6889" w:rsidRDefault="002B6E8B" w:rsidP="002B6E8B">
      <w:pPr>
        <w:pStyle w:val="AOGenNum2Para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 xml:space="preserve">Il Corrispettivo di Capacità dovuto dall'Utente ai sensi del Contratto per la Capacità sarà determinato in conformità con le rilevanti disposizioni del Codice di Rigassificazione, applicando il </w:t>
      </w:r>
      <w:r w:rsidRPr="000A6889">
        <w:rPr>
          <w:rFonts w:ascii="Times New Roman" w:hAnsi="Times New Roman"/>
          <w:i/>
          <w:lang w:val="it-IT"/>
        </w:rPr>
        <w:t>Cqs e CMr</w:t>
      </w:r>
      <w:r w:rsidRPr="000A6889">
        <w:rPr>
          <w:rFonts w:ascii="Times New Roman" w:hAnsi="Times New Roman"/>
          <w:lang w:val="it-IT"/>
        </w:rPr>
        <w:t xml:space="preserve"> stabiliti nell'Allegato (1) al Contratto per la Capacità.</w:t>
      </w:r>
    </w:p>
    <w:p w:rsidR="002B6E8B" w:rsidRPr="000A6889" w:rsidRDefault="002B6E8B" w:rsidP="002B6E8B">
      <w:pPr>
        <w:pStyle w:val="AOGenNum2List"/>
        <w:numPr>
          <w:ilvl w:val="0"/>
          <w:numId w:val="0"/>
        </w:numPr>
        <w:ind w:left="720" w:hanging="720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3.2</w:t>
      </w:r>
      <w:r w:rsidRPr="000A6889">
        <w:rPr>
          <w:rFonts w:ascii="Times New Roman" w:hAnsi="Times New Roman"/>
          <w:lang w:val="it-IT"/>
        </w:rPr>
        <w:tab/>
        <w:t xml:space="preserve">Il Corrispettivo di Rete e il Corrispettivo Variabile di Trasporto dovuti dall’Utente ai sensi del Contratto per la Capacità saranno determinati, rispettivamente, ai sensi delle lettere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_Ref425064697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(d)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e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_Ref425064727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(e)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dell’articolo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_Ref424987600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8.1.1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del capitolo III del Codice di Rigassificazione.</w:t>
      </w:r>
    </w:p>
    <w:p w:rsidR="002B6E8B" w:rsidRPr="000A6889" w:rsidRDefault="002B6E8B" w:rsidP="001B4FA8">
      <w:pPr>
        <w:pStyle w:val="AOGenNum2List"/>
        <w:numPr>
          <w:ilvl w:val="0"/>
          <w:numId w:val="0"/>
        </w:numPr>
        <w:ind w:left="720" w:hanging="720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3.3</w:t>
      </w:r>
      <w:r w:rsidRPr="000A6889">
        <w:rPr>
          <w:rFonts w:ascii="Times New Roman" w:hAnsi="Times New Roman"/>
          <w:lang w:val="it-IT"/>
        </w:rPr>
        <w:tab/>
        <w:t>I Corrispettivi Accessori e qualsiasi altro pagamento dovuto dall’Utente ai sensi del Contratto per la Capacità saranno determinati in conformità alle relative disposizioni del Codice di Rigassificazione.</w:t>
      </w:r>
    </w:p>
    <w:p w:rsidR="002B6E8B" w:rsidRPr="000A6889" w:rsidRDefault="002B6E8B" w:rsidP="002B6E8B">
      <w:pPr>
        <w:pStyle w:val="AOGenNum2"/>
        <w:jc w:val="left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Requisiti per il Servizio</w:t>
      </w:r>
    </w:p>
    <w:p w:rsidR="002B6E8B" w:rsidRPr="000A6889" w:rsidRDefault="002B6E8B" w:rsidP="002B6E8B">
      <w:pPr>
        <w:pStyle w:val="AOGenNum2Para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[</w:t>
      </w:r>
      <w:r w:rsidRPr="000A6889">
        <w:rPr>
          <w:rFonts w:ascii="Times New Roman" w:hAnsi="Times New Roman"/>
          <w:i/>
          <w:lang w:val="it-IT"/>
        </w:rPr>
        <w:t>Utente</w:t>
      </w:r>
      <w:r w:rsidRPr="000A6889">
        <w:rPr>
          <w:rFonts w:ascii="Times New Roman" w:hAnsi="Times New Roman"/>
          <w:lang w:val="it-IT"/>
        </w:rPr>
        <w:t xml:space="preserve">] dichiara che dalla data del Contratto per la Capacità, e per tutta la sua durata, soddisferà e manterrà tutti i Requisiti per il Servizio di cui all'articolo 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_Ref425589597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III.2.3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del Codice di Rigassificazione.</w:t>
      </w:r>
    </w:p>
    <w:p w:rsidR="002B6E8B" w:rsidRPr="000A6889" w:rsidRDefault="002B6E8B" w:rsidP="002B6E8B">
      <w:pPr>
        <w:pStyle w:val="AOGenNum2Para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 xml:space="preserve">Con particolare riferimento al Requisito per il Servizio previsto alla lettera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_Ref425589668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(j)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dell’articolo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_Ref425589646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III.2.3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>, [Utente] dà atto che la consegna al Gestore di una copia debitamente firmata dell’autorizzazione a effettuare richieste di transazioni al Sistema che implicano l’automatica accettazione dell’Utente è essenziale affinché il Gestore possa Riconsegnare il Gas. Quindi, [Utente] si obbliga a consegnare al Gestore una copia debitamente firmata di tale autorizzazione, così come ogni altro documento richiesto a tal fine da Snam Rete Gas, entro 2 (due) Giorni dalla sottoscrizione del Contratto per la Capacità o, nell’eventualità in cui tale data dovesse essere successiva al quinto (5°) Giorno Lavorativo precedente la data in cui è richiesta la prima Discarica, immediatamente dopo la sottoscrizione del Contratto per la Capacità.</w:t>
      </w:r>
    </w:p>
    <w:p w:rsidR="002B6E8B" w:rsidRPr="000A6889" w:rsidRDefault="002B6E8B" w:rsidP="002B6E8B">
      <w:pPr>
        <w:pStyle w:val="AOGenNum2Para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 xml:space="preserve"> [</w:t>
      </w:r>
      <w:r w:rsidRPr="000A6889">
        <w:rPr>
          <w:rFonts w:ascii="Times New Roman" w:hAnsi="Times New Roman"/>
          <w:i/>
          <w:lang w:val="it-IT"/>
        </w:rPr>
        <w:t>Utente</w:t>
      </w:r>
      <w:r w:rsidRPr="000A6889">
        <w:rPr>
          <w:rFonts w:ascii="Times New Roman" w:hAnsi="Times New Roman"/>
          <w:lang w:val="it-IT"/>
        </w:rPr>
        <w:t xml:space="preserve">] dichiara e garantisce al Gestore che le Dichiarazioni di cui agli articoli dal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_Ref425589693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2.4.1</w:t>
      </w:r>
      <w:r>
        <w:rPr>
          <w:rFonts w:ascii="Times New Roman" w:hAnsi="Times New Roman"/>
          <w:lang w:val="it-IT"/>
        </w:rPr>
        <w:fldChar w:fldCharType="end"/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_Ref425416561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(a)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al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_Ref425589711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2.4.1</w:t>
      </w:r>
      <w:r>
        <w:rPr>
          <w:rFonts w:ascii="Times New Roman" w:hAnsi="Times New Roman"/>
          <w:lang w:val="it-IT"/>
        </w:rPr>
        <w:fldChar w:fldCharType="end"/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_Ref425589720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(d)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del capitolo III del Codice di Rigassificazione sono veritiere e corrette alla data di stipula </w:t>
      </w:r>
      <w:r w:rsidRPr="000A6889">
        <w:rPr>
          <w:rFonts w:ascii="Times New Roman" w:hAnsi="Times New Roman"/>
          <w:lang w:val="it-IT"/>
        </w:rPr>
        <w:lastRenderedPageBreak/>
        <w:t xml:space="preserve">del Contratto per la Capacità. Con riferimento alle Dichiarazioni di cui all'articolo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_Ref425589731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2.4.1</w:t>
      </w:r>
      <w:r>
        <w:rPr>
          <w:rFonts w:ascii="Times New Roman" w:hAnsi="Times New Roman"/>
          <w:lang w:val="it-IT"/>
        </w:rPr>
        <w:fldChar w:fldCharType="end"/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_Ref425416561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(a)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e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_Ref425589759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2.4.1</w:t>
      </w:r>
      <w:r>
        <w:rPr>
          <w:rFonts w:ascii="Times New Roman" w:hAnsi="Times New Roman"/>
          <w:lang w:val="it-IT"/>
        </w:rPr>
        <w:fldChar w:fldCharType="end"/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_Ref425416569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(b)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del capitolo III del Codice di Rigassificazione, [</w:t>
      </w:r>
      <w:r w:rsidRPr="000A6889">
        <w:rPr>
          <w:rFonts w:ascii="Times New Roman" w:hAnsi="Times New Roman"/>
          <w:i/>
          <w:lang w:val="it-IT"/>
        </w:rPr>
        <w:t>Utente</w:t>
      </w:r>
      <w:r w:rsidRPr="000A6889">
        <w:rPr>
          <w:rFonts w:ascii="Times New Roman" w:hAnsi="Times New Roman"/>
          <w:lang w:val="it-IT"/>
        </w:rPr>
        <w:t xml:space="preserve">] si impegna a fare in modo che le stesse rimangano veritiere e corrette, secondo quanto stabilito dagli articoli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_Ref425416631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2.4.2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e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_Ref425504574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2.4.3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del capitolo III del Codice di Rigassificazione.</w:t>
      </w:r>
    </w:p>
    <w:p w:rsidR="002B6E8B" w:rsidRPr="000A6889" w:rsidRDefault="002B6E8B" w:rsidP="002B6E8B">
      <w:pPr>
        <w:pStyle w:val="AOGenNum2"/>
        <w:jc w:val="left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Elezione di domicilio e comunicazioni</w:t>
      </w:r>
    </w:p>
    <w:p w:rsidR="002B6E8B" w:rsidRPr="000A6889" w:rsidRDefault="002B6E8B" w:rsidP="002B6E8B">
      <w:pPr>
        <w:pStyle w:val="AOGenNum2Para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 xml:space="preserve">Ai sensi dell'articolo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_Ref425589829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I.4.2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del Codice di Rigassificazione e ai fini del Contratto per la Capacità, l'Utente elegge domicilio presso [</w:t>
      </w:r>
      <w:r w:rsidRPr="000A6889">
        <w:rPr>
          <w:rFonts w:ascii="Times New Roman" w:hAnsi="Times New Roman"/>
          <w:i/>
          <w:lang w:val="it-IT"/>
        </w:rPr>
        <w:t>inserire indirizzo</w:t>
      </w:r>
      <w:r w:rsidRPr="000A6889">
        <w:rPr>
          <w:rFonts w:ascii="Times New Roman" w:hAnsi="Times New Roman"/>
          <w:lang w:val="it-IT"/>
        </w:rPr>
        <w:t xml:space="preserve">] in Milano, e si impegna a mantenere tale domicilio in Milano, per tutta la durata del Contratto per la Capacità. </w:t>
      </w:r>
    </w:p>
    <w:p w:rsidR="002B6E8B" w:rsidRPr="000A6889" w:rsidRDefault="002B6E8B" w:rsidP="002B6E8B">
      <w:pPr>
        <w:pStyle w:val="AOGenNum2Para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 xml:space="preserve">Tutte le comunicazioni e gli avvisi all'Utente da parte del Gestore ai sensi dell'articolo </w:t>
      </w:r>
      <w:r>
        <w:rPr>
          <w:rFonts w:ascii="Times New Roman" w:hAnsi="Times New Roman"/>
          <w:lang w:val="it-IT"/>
        </w:rPr>
        <w:fldChar w:fldCharType="begin"/>
      </w:r>
      <w:r>
        <w:rPr>
          <w:rFonts w:ascii="Times New Roman" w:hAnsi="Times New Roman"/>
          <w:lang w:val="it-IT"/>
        </w:rPr>
        <w:instrText xml:space="preserve"> REF _Ref425589854 \n \h </w:instrText>
      </w:r>
      <w:r>
        <w:rPr>
          <w:rFonts w:ascii="Times New Roman" w:hAnsi="Times New Roman"/>
          <w:lang w:val="it-IT"/>
        </w:rPr>
      </w:r>
      <w:r>
        <w:rPr>
          <w:rFonts w:ascii="Times New Roman" w:hAnsi="Times New Roman"/>
          <w:lang w:val="it-IT"/>
        </w:rPr>
        <w:fldChar w:fldCharType="separate"/>
      </w:r>
      <w:r>
        <w:rPr>
          <w:rFonts w:ascii="Times New Roman" w:hAnsi="Times New Roman"/>
          <w:lang w:val="it-IT"/>
        </w:rPr>
        <w:t>III.16</w:t>
      </w:r>
      <w:r>
        <w:rPr>
          <w:rFonts w:ascii="Times New Roman" w:hAnsi="Times New Roman"/>
          <w:lang w:val="it-IT"/>
        </w:rPr>
        <w:fldChar w:fldCharType="end"/>
      </w:r>
      <w:r w:rsidRPr="000A6889">
        <w:rPr>
          <w:rFonts w:ascii="Times New Roman" w:hAnsi="Times New Roman"/>
          <w:lang w:val="it-IT"/>
        </w:rPr>
        <w:t xml:space="preserve"> del Codice di Rigassificazione dovranno essere inviati all'indirizzo indicato nel precedente articolo 5.1 all'attenzione di [</w:t>
      </w:r>
      <w:r w:rsidRPr="000A6889">
        <w:rPr>
          <w:rFonts w:ascii="Times New Roman" w:hAnsi="Times New Roman"/>
          <w:i/>
          <w:lang w:val="it-IT"/>
        </w:rPr>
        <w:t>inserire destinatario</w:t>
      </w:r>
      <w:r w:rsidRPr="000A6889">
        <w:rPr>
          <w:rFonts w:ascii="Times New Roman" w:hAnsi="Times New Roman"/>
          <w:lang w:val="it-IT"/>
        </w:rPr>
        <w:t>], numero di fax [</w:t>
      </w:r>
      <w:r w:rsidRPr="000A6889">
        <w:rPr>
          <w:rFonts w:ascii="Times New Roman" w:hAnsi="Times New Roman"/>
          <w:i/>
          <w:lang w:val="it-IT"/>
        </w:rPr>
        <w:t>inserire numero di fax</w:t>
      </w:r>
      <w:r w:rsidRPr="000A6889">
        <w:rPr>
          <w:rFonts w:ascii="Times New Roman" w:hAnsi="Times New Roman"/>
          <w:lang w:val="it-IT"/>
        </w:rPr>
        <w:t>], indirizzo di posta elettronica [</w:t>
      </w:r>
      <w:r w:rsidRPr="000A6889">
        <w:rPr>
          <w:rFonts w:ascii="Times New Roman" w:hAnsi="Times New Roman"/>
          <w:i/>
          <w:lang w:val="it-IT"/>
        </w:rPr>
        <w:t>inserire indirizzo di posta elettronica</w:t>
      </w:r>
      <w:r w:rsidRPr="000A6889">
        <w:rPr>
          <w:rFonts w:ascii="Times New Roman" w:hAnsi="Times New Roman"/>
          <w:lang w:val="it-IT"/>
        </w:rPr>
        <w:t>].</w:t>
      </w:r>
    </w:p>
    <w:p w:rsidR="002B6E8B" w:rsidRPr="000A6889" w:rsidRDefault="002B6E8B" w:rsidP="002B6E8B">
      <w:pPr>
        <w:pStyle w:val="AOGenNum2"/>
        <w:jc w:val="left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 xml:space="preserve">Applicazione del Codice di </w:t>
      </w:r>
      <w:bookmarkStart w:id="2" w:name="_GoBack"/>
      <w:bookmarkEnd w:id="2"/>
      <w:r w:rsidRPr="000A6889">
        <w:rPr>
          <w:rFonts w:ascii="Times New Roman" w:hAnsi="Times New Roman"/>
          <w:lang w:val="it-IT"/>
        </w:rPr>
        <w:t>Rigassificazione</w:t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Il Contratto per la Capacità è soggetto ai termini e alle condizioni del Codice di Rigassificazione, che devono intendersi qui interamente incorporati.</w:t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[Luogo], [data]</w:t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[</w:t>
      </w:r>
      <w:r w:rsidRPr="000A6889">
        <w:rPr>
          <w:rFonts w:ascii="Times New Roman" w:hAnsi="Times New Roman"/>
          <w:i/>
          <w:iCs/>
          <w:lang w:val="it-IT"/>
        </w:rPr>
        <w:t>Richiedente</w:t>
      </w:r>
      <w:r w:rsidRPr="000A6889">
        <w:rPr>
          <w:rFonts w:ascii="Times New Roman" w:hAnsi="Times New Roman"/>
          <w:lang w:val="it-IT"/>
        </w:rPr>
        <w:t>]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1"/>
      </w:tblGrid>
      <w:tr w:rsidR="002B6E8B" w:rsidRPr="000A6889" w:rsidTr="00715DA6">
        <w:tc>
          <w:tcPr>
            <w:tcW w:w="4621" w:type="dxa"/>
          </w:tcPr>
          <w:p w:rsidR="002B6E8B" w:rsidRPr="000A6889" w:rsidRDefault="002B6E8B" w:rsidP="00715DA6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Firmato:_________________________</w:t>
            </w:r>
          </w:p>
        </w:tc>
      </w:tr>
      <w:tr w:rsidR="002B6E8B" w:rsidRPr="000A6889" w:rsidTr="00715DA6">
        <w:tc>
          <w:tcPr>
            <w:tcW w:w="4621" w:type="dxa"/>
          </w:tcPr>
          <w:p w:rsidR="002B6E8B" w:rsidRPr="000A6889" w:rsidRDefault="002B6E8B" w:rsidP="00715DA6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Nome:</w:t>
            </w:r>
          </w:p>
        </w:tc>
      </w:tr>
      <w:tr w:rsidR="002B6E8B" w:rsidRPr="000A6889" w:rsidTr="00715DA6">
        <w:tc>
          <w:tcPr>
            <w:tcW w:w="4621" w:type="dxa"/>
          </w:tcPr>
          <w:p w:rsidR="002B6E8B" w:rsidRPr="000A6889" w:rsidRDefault="002B6E8B" w:rsidP="00715DA6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In qualità di:</w:t>
            </w:r>
          </w:p>
        </w:tc>
      </w:tr>
    </w:tbl>
    <w:p w:rsidR="002B6E8B" w:rsidRPr="000A6889" w:rsidRDefault="002B6E8B" w:rsidP="002B6E8B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L'Utente accetta incondizionatamente, ai sensi e per gli effetti degli articoli 1341 e 1342 del codice civile, i seguenti articoli del Codice di Rigassificazione:</w:t>
      </w:r>
    </w:p>
    <w:p w:rsidR="002B6E8B" w:rsidRPr="000A6889" w:rsidRDefault="002B6E8B" w:rsidP="002B6E8B">
      <w:pPr>
        <w:rPr>
          <w:szCs w:val="22"/>
        </w:rPr>
      </w:pPr>
    </w:p>
    <w:p w:rsidR="002B6E8B" w:rsidRPr="000A6889" w:rsidRDefault="002B6E8B" w:rsidP="002B6E8B">
      <w:pPr>
        <w:rPr>
          <w:szCs w:val="22"/>
        </w:rPr>
      </w:pPr>
      <w:r w:rsidRPr="000A6889">
        <w:rPr>
          <w:szCs w:val="22"/>
        </w:rPr>
        <w:t>CAPITOLO I:</w:t>
      </w:r>
    </w:p>
    <w:p w:rsidR="002B6E8B" w:rsidRPr="00EB3522" w:rsidRDefault="002B6E8B" w:rsidP="002B6E8B">
      <w:pPr>
        <w:rPr>
          <w:szCs w:val="22"/>
        </w:rPr>
      </w:pPr>
      <w:r w:rsidRPr="000A6889">
        <w:rPr>
          <w:b/>
          <w:szCs w:val="22"/>
        </w:rPr>
        <w:t>4.1</w:t>
      </w:r>
      <w:r w:rsidRPr="000A6889">
        <w:rPr>
          <w:szCs w:val="22"/>
        </w:rPr>
        <w:t xml:space="preserve"> “Competenza </w:t>
      </w:r>
      <w:r w:rsidRPr="00EB3522">
        <w:rPr>
          <w:szCs w:val="22"/>
        </w:rPr>
        <w:t>dell’</w:t>
      </w:r>
      <w:r w:rsidRPr="00EB3522">
        <w:t>Autorità</w:t>
      </w:r>
      <w:r w:rsidRPr="00EB3522">
        <w:rPr>
          <w:b/>
        </w:rPr>
        <w:t xml:space="preserve"> </w:t>
      </w:r>
      <w:r w:rsidRPr="00EB3522">
        <w:t>di Regolazione per Energia Reti e Ambiente</w:t>
      </w:r>
      <w:r w:rsidRPr="00EB3522">
        <w:rPr>
          <w:szCs w:val="22"/>
        </w:rPr>
        <w:t xml:space="preserve">”; </w:t>
      </w:r>
      <w:r w:rsidRPr="00EB3522">
        <w:rPr>
          <w:b/>
          <w:szCs w:val="22"/>
        </w:rPr>
        <w:t>4.2</w:t>
      </w:r>
      <w:r w:rsidRPr="00EB3522">
        <w:rPr>
          <w:szCs w:val="22"/>
        </w:rPr>
        <w:t xml:space="preserve"> “Giurisdizione”; </w:t>
      </w:r>
      <w:r w:rsidRPr="00EB3522">
        <w:rPr>
          <w:b/>
          <w:szCs w:val="22"/>
        </w:rPr>
        <w:t>4.3</w:t>
      </w:r>
      <w:r w:rsidRPr="00EB3522">
        <w:rPr>
          <w:szCs w:val="22"/>
        </w:rPr>
        <w:t xml:space="preserve"> “Arbitrato su Controversie Tecniche”.</w:t>
      </w:r>
    </w:p>
    <w:p w:rsidR="002B6E8B" w:rsidRPr="00EB3522" w:rsidRDefault="002B6E8B" w:rsidP="002B6E8B">
      <w:pPr>
        <w:rPr>
          <w:szCs w:val="22"/>
        </w:rPr>
      </w:pPr>
      <w:r w:rsidRPr="00EB3522">
        <w:rPr>
          <w:szCs w:val="22"/>
        </w:rPr>
        <w:t>CAPITOLO II:</w:t>
      </w:r>
    </w:p>
    <w:p w:rsidR="002B6E8B" w:rsidRPr="00EB3522" w:rsidRDefault="002B6E8B" w:rsidP="002B6E8B">
      <w:pPr>
        <w:rPr>
          <w:szCs w:val="22"/>
        </w:rPr>
      </w:pPr>
      <w:r w:rsidRPr="00EB3522">
        <w:rPr>
          <w:szCs w:val="22"/>
        </w:rPr>
        <w:t xml:space="preserve"> </w:t>
      </w:r>
      <w:r w:rsidRPr="00EB3522">
        <w:rPr>
          <w:b/>
          <w:szCs w:val="22"/>
        </w:rPr>
        <w:t>2.4.2</w:t>
      </w:r>
      <w:r w:rsidRPr="00EB3522">
        <w:rPr>
          <w:szCs w:val="22"/>
        </w:rPr>
        <w:t xml:space="preserve"> “Sottoscrizione della Capacità Disponibile”; </w:t>
      </w:r>
      <w:r w:rsidRPr="00EB3522">
        <w:rPr>
          <w:b/>
          <w:szCs w:val="22"/>
        </w:rPr>
        <w:t>2.4.5</w:t>
      </w:r>
      <w:r w:rsidRPr="00EB3522">
        <w:rPr>
          <w:szCs w:val="22"/>
        </w:rPr>
        <w:t xml:space="preserve"> “Richieste di Accesso”; </w:t>
      </w:r>
      <w:r w:rsidRPr="00EB3522">
        <w:rPr>
          <w:b/>
          <w:szCs w:val="22"/>
        </w:rPr>
        <w:t>2.4.7</w:t>
      </w:r>
      <w:r w:rsidRPr="00EB3522">
        <w:rPr>
          <w:szCs w:val="22"/>
        </w:rPr>
        <w:t xml:space="preserve"> “Sottoscrizione delle Accettazioni Modificate”; </w:t>
      </w:r>
      <w:r w:rsidRPr="00EB3522">
        <w:rPr>
          <w:b/>
          <w:szCs w:val="22"/>
        </w:rPr>
        <w:t>2.5</w:t>
      </w:r>
      <w:r w:rsidRPr="00EB3522">
        <w:rPr>
          <w:szCs w:val="22"/>
        </w:rPr>
        <w:t xml:space="preserve"> “Diniego di Accesso”; </w:t>
      </w:r>
      <w:r w:rsidRPr="00EB3522">
        <w:rPr>
          <w:b/>
          <w:szCs w:val="22"/>
        </w:rPr>
        <w:t>2.6</w:t>
      </w:r>
      <w:r w:rsidRPr="00EB3522">
        <w:rPr>
          <w:szCs w:val="22"/>
        </w:rPr>
        <w:t xml:space="preserve"> “Capacità Rilasciata”; </w:t>
      </w:r>
      <w:r w:rsidRPr="00EB3522">
        <w:rPr>
          <w:b/>
          <w:szCs w:val="22"/>
        </w:rPr>
        <w:t>2.7</w:t>
      </w:r>
      <w:r w:rsidRPr="00EB3522">
        <w:rPr>
          <w:szCs w:val="22"/>
        </w:rPr>
        <w:t xml:space="preserve"> “Capacità Regolata Sottoscritta da rendersi disponibile al Gestore per il conferimento a terzi ai sensi dell’articolo 14, comma 3, del TIRG; </w:t>
      </w:r>
      <w:r w:rsidRPr="00EB3522">
        <w:rPr>
          <w:b/>
          <w:szCs w:val="22"/>
        </w:rPr>
        <w:t>2.8</w:t>
      </w:r>
      <w:r w:rsidRPr="00EB3522">
        <w:rPr>
          <w:szCs w:val="22"/>
        </w:rPr>
        <w:t xml:space="preserve"> “Capacità Esentata Sottoscritta da rendersi disponibile al Gestore per il conferimento a terzi ai sensi dell’articolo 6, comma 3, del decreto MAP dell’11 aprile 2006”; </w:t>
      </w:r>
      <w:r w:rsidRPr="00EB3522">
        <w:rPr>
          <w:b/>
          <w:szCs w:val="22"/>
        </w:rPr>
        <w:t>3.2</w:t>
      </w:r>
      <w:r w:rsidRPr="00EB3522">
        <w:rPr>
          <w:szCs w:val="22"/>
        </w:rPr>
        <w:t xml:space="preserve"> “Programmazione Annuale”; </w:t>
      </w:r>
      <w:r w:rsidRPr="00EB3522">
        <w:rPr>
          <w:b/>
          <w:szCs w:val="22"/>
        </w:rPr>
        <w:t>3.3</w:t>
      </w:r>
      <w:r w:rsidRPr="00EB3522">
        <w:rPr>
          <w:szCs w:val="22"/>
        </w:rPr>
        <w:t xml:space="preserve"> “Programmazione Trimestrale”; </w:t>
      </w:r>
      <w:r w:rsidRPr="00EB3522">
        <w:rPr>
          <w:b/>
          <w:szCs w:val="22"/>
        </w:rPr>
        <w:t>3.7</w:t>
      </w:r>
      <w:r w:rsidRPr="00EB3522">
        <w:rPr>
          <w:szCs w:val="22"/>
        </w:rPr>
        <w:t xml:space="preserve"> “Indisponibilità degli Slot di discarica”. </w:t>
      </w:r>
    </w:p>
    <w:p w:rsidR="002B6E8B" w:rsidRPr="00EB3522" w:rsidRDefault="002B6E8B" w:rsidP="002B6E8B">
      <w:pPr>
        <w:rPr>
          <w:szCs w:val="22"/>
        </w:rPr>
      </w:pPr>
      <w:r w:rsidRPr="00EB3522">
        <w:rPr>
          <w:szCs w:val="22"/>
        </w:rPr>
        <w:lastRenderedPageBreak/>
        <w:t>CAPITOLO III:</w:t>
      </w:r>
    </w:p>
    <w:p w:rsidR="002B6E8B" w:rsidRPr="000A6889" w:rsidRDefault="002B6E8B" w:rsidP="002B6E8B">
      <w:pPr>
        <w:rPr>
          <w:szCs w:val="22"/>
        </w:rPr>
      </w:pPr>
      <w:r w:rsidRPr="00EB3522">
        <w:rPr>
          <w:b/>
          <w:szCs w:val="22"/>
        </w:rPr>
        <w:t>2.2</w:t>
      </w:r>
      <w:r w:rsidRPr="00EB3522">
        <w:rPr>
          <w:szCs w:val="22"/>
        </w:rPr>
        <w:t xml:space="preserve"> “Obbligazioni delle Parti”; </w:t>
      </w:r>
      <w:r w:rsidRPr="00EB3522">
        <w:rPr>
          <w:b/>
          <w:szCs w:val="22"/>
        </w:rPr>
        <w:t>2.6</w:t>
      </w:r>
      <w:r w:rsidRPr="00EB3522">
        <w:rPr>
          <w:szCs w:val="22"/>
        </w:rPr>
        <w:t xml:space="preserve"> “Diligenza dell’Utente”; </w:t>
      </w:r>
      <w:r w:rsidRPr="00EB3522">
        <w:rPr>
          <w:b/>
          <w:szCs w:val="22"/>
        </w:rPr>
        <w:t>2.7</w:t>
      </w:r>
      <w:r w:rsidRPr="00EB3522">
        <w:rPr>
          <w:szCs w:val="22"/>
        </w:rPr>
        <w:t xml:space="preserve"> “Rifiuto di modifiche nella prestazione del Servizio”; </w:t>
      </w:r>
      <w:r w:rsidRPr="00EB3522">
        <w:rPr>
          <w:b/>
          <w:szCs w:val="22"/>
        </w:rPr>
        <w:t>2.9</w:t>
      </w:r>
      <w:r w:rsidRPr="00EB3522">
        <w:rPr>
          <w:szCs w:val="22"/>
        </w:rPr>
        <w:t xml:space="preserve"> “Prestazione del Servizio di Riconsegna”; </w:t>
      </w:r>
      <w:r w:rsidRPr="00EB3522">
        <w:rPr>
          <w:b/>
          <w:szCs w:val="22"/>
        </w:rPr>
        <w:t>3</w:t>
      </w:r>
      <w:r w:rsidRPr="00EB3522">
        <w:rPr>
          <w:szCs w:val="22"/>
        </w:rPr>
        <w:t xml:space="preserve"> “Durata dei Contratti per la Capacità e Recesso; </w:t>
      </w:r>
      <w:r w:rsidRPr="00EB3522">
        <w:rPr>
          <w:b/>
          <w:szCs w:val="22"/>
        </w:rPr>
        <w:t>4</w:t>
      </w:r>
      <w:r w:rsidRPr="00EB3522">
        <w:rPr>
          <w:szCs w:val="22"/>
        </w:rPr>
        <w:t xml:space="preserve"> “Proprietà del GNL”; </w:t>
      </w:r>
      <w:r w:rsidRPr="00EB3522">
        <w:rPr>
          <w:b/>
          <w:szCs w:val="22"/>
        </w:rPr>
        <w:t>5.1.3</w:t>
      </w:r>
      <w:r w:rsidRPr="00EB3522">
        <w:rPr>
          <w:szCs w:val="22"/>
        </w:rPr>
        <w:t xml:space="preserve"> “Determinazione di quantità e qualità del GNL al Punto di Consegna”; </w:t>
      </w:r>
      <w:r w:rsidRPr="00EB3522">
        <w:rPr>
          <w:b/>
          <w:szCs w:val="22"/>
        </w:rPr>
        <w:t>5.1.7</w:t>
      </w:r>
      <w:r w:rsidRPr="00EB3522">
        <w:rPr>
          <w:szCs w:val="22"/>
        </w:rPr>
        <w:t xml:space="preserve"> “Responsabilità dell’Utente rispetto alla Discarica di GNL Fuori Specifica”; </w:t>
      </w:r>
      <w:r w:rsidRPr="00EB3522">
        <w:rPr>
          <w:b/>
          <w:szCs w:val="22"/>
        </w:rPr>
        <w:t>6.1</w:t>
      </w:r>
      <w:r w:rsidRPr="00EB3522">
        <w:rPr>
          <w:szCs w:val="22"/>
        </w:rPr>
        <w:t xml:space="preserve"> “Riconsegna del Gas”; </w:t>
      </w:r>
      <w:r w:rsidRPr="00EB3522">
        <w:rPr>
          <w:b/>
          <w:szCs w:val="22"/>
        </w:rPr>
        <w:t>6.2</w:t>
      </w:r>
      <w:r w:rsidRPr="00EB3522">
        <w:rPr>
          <w:szCs w:val="22"/>
        </w:rPr>
        <w:t xml:space="preserve"> “Consumi e Perdite </w:t>
      </w:r>
      <w:r w:rsidRPr="00EB3522">
        <w:t>della catena di Rigassificazione</w:t>
      </w:r>
      <w:r w:rsidRPr="00EB3522">
        <w:rPr>
          <w:szCs w:val="22"/>
        </w:rPr>
        <w:t>”;</w:t>
      </w:r>
      <w:r w:rsidRPr="000A6889">
        <w:rPr>
          <w:szCs w:val="22"/>
        </w:rPr>
        <w:t xml:space="preserve"> </w:t>
      </w:r>
      <w:r w:rsidRPr="000A6889">
        <w:rPr>
          <w:b/>
          <w:szCs w:val="22"/>
        </w:rPr>
        <w:t>7</w:t>
      </w:r>
      <w:r w:rsidRPr="000A6889">
        <w:rPr>
          <w:szCs w:val="22"/>
        </w:rPr>
        <w:t xml:space="preserve"> “Forza Maggiore”; </w:t>
      </w:r>
      <w:r w:rsidRPr="000A6889">
        <w:rPr>
          <w:b/>
          <w:szCs w:val="22"/>
        </w:rPr>
        <w:t>8.1</w:t>
      </w:r>
      <w:r w:rsidRPr="000A6889">
        <w:rPr>
          <w:szCs w:val="22"/>
        </w:rPr>
        <w:t xml:space="preserve"> “Fatturazione da parte del Gestore”; </w:t>
      </w:r>
      <w:r w:rsidRPr="000A6889">
        <w:rPr>
          <w:b/>
          <w:szCs w:val="22"/>
        </w:rPr>
        <w:t>8.4</w:t>
      </w:r>
      <w:r w:rsidRPr="000A6889">
        <w:rPr>
          <w:szCs w:val="22"/>
        </w:rPr>
        <w:t xml:space="preserve"> “Sospensione del pagamento delle fatture”; </w:t>
      </w:r>
      <w:r w:rsidRPr="000A6889">
        <w:rPr>
          <w:b/>
          <w:szCs w:val="22"/>
        </w:rPr>
        <w:t>8.6</w:t>
      </w:r>
      <w:r w:rsidRPr="000A6889">
        <w:rPr>
          <w:szCs w:val="22"/>
        </w:rPr>
        <w:t xml:space="preserve"> “Rettifica degli Errori”; </w:t>
      </w:r>
      <w:r w:rsidRPr="000A6889">
        <w:rPr>
          <w:b/>
          <w:szCs w:val="22"/>
        </w:rPr>
        <w:t>8.7</w:t>
      </w:r>
      <w:r w:rsidRPr="000A6889">
        <w:rPr>
          <w:szCs w:val="22"/>
        </w:rPr>
        <w:t xml:space="preserve"> “Importi al netto di ritenuta; responsabilità per gli Oneri Marittimi”; </w:t>
      </w:r>
      <w:r w:rsidRPr="000A6889">
        <w:rPr>
          <w:b/>
          <w:szCs w:val="22"/>
        </w:rPr>
        <w:t>8.10</w:t>
      </w:r>
      <w:r w:rsidRPr="000A6889">
        <w:rPr>
          <w:szCs w:val="22"/>
        </w:rPr>
        <w:t xml:space="preserve"> “Capacità di Make-Up”; </w:t>
      </w:r>
      <w:r w:rsidRPr="000A6889">
        <w:rPr>
          <w:b/>
          <w:szCs w:val="22"/>
        </w:rPr>
        <w:t>8.11</w:t>
      </w:r>
      <w:r w:rsidRPr="000A6889">
        <w:rPr>
          <w:szCs w:val="22"/>
        </w:rPr>
        <w:t xml:space="preserve"> “Corrispettivi di scostamento applicabili agli Utenti Continuativi”; </w:t>
      </w:r>
      <w:r w:rsidRPr="000A6889">
        <w:rPr>
          <w:b/>
          <w:szCs w:val="22"/>
        </w:rPr>
        <w:t>8.12</w:t>
      </w:r>
      <w:r w:rsidRPr="000A6889">
        <w:rPr>
          <w:szCs w:val="22"/>
        </w:rPr>
        <w:t xml:space="preserve"> “Corrispettivi di scostamento applicabili alla Capacità Spot”; </w:t>
      </w:r>
      <w:r w:rsidRPr="000A6889">
        <w:rPr>
          <w:b/>
          <w:szCs w:val="22"/>
        </w:rPr>
        <w:t>9</w:t>
      </w:r>
      <w:r w:rsidRPr="000A6889">
        <w:rPr>
          <w:szCs w:val="22"/>
        </w:rPr>
        <w:t xml:space="preserve"> “Imposte, tasse e diritti sul Gas”; </w:t>
      </w:r>
      <w:r w:rsidRPr="000A6889">
        <w:rPr>
          <w:b/>
          <w:szCs w:val="22"/>
        </w:rPr>
        <w:t>12</w:t>
      </w:r>
      <w:r w:rsidRPr="000A6889">
        <w:rPr>
          <w:szCs w:val="22"/>
        </w:rPr>
        <w:t xml:space="preserve"> “Scambi di Capacità Sottoscritta”; </w:t>
      </w:r>
      <w:r w:rsidRPr="000A6889">
        <w:rPr>
          <w:b/>
          <w:szCs w:val="22"/>
        </w:rPr>
        <w:t>13</w:t>
      </w:r>
      <w:r w:rsidRPr="000A6889">
        <w:rPr>
          <w:szCs w:val="22"/>
        </w:rPr>
        <w:t xml:space="preserve"> “Risoluzione del Contratto e Recesso”; </w:t>
      </w:r>
      <w:r w:rsidRPr="000A6889">
        <w:rPr>
          <w:b/>
          <w:szCs w:val="22"/>
        </w:rPr>
        <w:t>14</w:t>
      </w:r>
      <w:r w:rsidRPr="000A6889">
        <w:rPr>
          <w:szCs w:val="22"/>
        </w:rPr>
        <w:t xml:space="preserve"> “Responsabilità”; </w:t>
      </w:r>
      <w:r w:rsidRPr="000A6889">
        <w:rPr>
          <w:b/>
          <w:szCs w:val="22"/>
        </w:rPr>
        <w:t>15</w:t>
      </w:r>
      <w:r w:rsidRPr="000A6889">
        <w:rPr>
          <w:szCs w:val="22"/>
        </w:rPr>
        <w:t xml:space="preserve"> “Reclami”; </w:t>
      </w:r>
      <w:r w:rsidRPr="000A6889">
        <w:rPr>
          <w:b/>
          <w:szCs w:val="22"/>
        </w:rPr>
        <w:t>19</w:t>
      </w:r>
      <w:r w:rsidRPr="000A6889">
        <w:rPr>
          <w:szCs w:val="22"/>
        </w:rPr>
        <w:t xml:space="preserve"> “Costi per l’esecuzione”; </w:t>
      </w:r>
      <w:r w:rsidRPr="000A6889">
        <w:rPr>
          <w:b/>
          <w:szCs w:val="22"/>
        </w:rPr>
        <w:t>20</w:t>
      </w:r>
      <w:r w:rsidRPr="000A6889">
        <w:rPr>
          <w:szCs w:val="22"/>
        </w:rPr>
        <w:t xml:space="preserve"> “Rinuncia all’immunità”.</w:t>
      </w:r>
    </w:p>
    <w:p w:rsidR="002B6E8B" w:rsidRPr="000A6889" w:rsidRDefault="002B6E8B" w:rsidP="002B6E8B">
      <w:pPr>
        <w:rPr>
          <w:szCs w:val="22"/>
        </w:rPr>
      </w:pPr>
      <w:r w:rsidRPr="000A6889">
        <w:rPr>
          <w:szCs w:val="22"/>
        </w:rPr>
        <w:t>CAPITOLO IV:</w:t>
      </w:r>
    </w:p>
    <w:p w:rsidR="002B6E8B" w:rsidRPr="000A6889" w:rsidRDefault="002B6E8B" w:rsidP="002B6E8B">
      <w:pPr>
        <w:rPr>
          <w:szCs w:val="22"/>
        </w:rPr>
      </w:pPr>
      <w:r w:rsidRPr="000A6889">
        <w:rPr>
          <w:b/>
          <w:szCs w:val="22"/>
        </w:rPr>
        <w:t>1.3</w:t>
      </w:r>
      <w:r w:rsidRPr="000A6889">
        <w:rPr>
          <w:szCs w:val="22"/>
        </w:rPr>
        <w:t xml:space="preserve"> “Rifiuto delle Navi Metaniere”; </w:t>
      </w:r>
      <w:r w:rsidRPr="000A6889">
        <w:rPr>
          <w:b/>
          <w:szCs w:val="22"/>
        </w:rPr>
        <w:t>1.4.2</w:t>
      </w:r>
      <w:r w:rsidRPr="000A6889">
        <w:rPr>
          <w:szCs w:val="22"/>
        </w:rPr>
        <w:t xml:space="preserve"> “Mancata effettuazione delle necessarie modifiche”; </w:t>
      </w:r>
      <w:r w:rsidRPr="000A6889">
        <w:rPr>
          <w:b/>
          <w:szCs w:val="22"/>
        </w:rPr>
        <w:t>3.6</w:t>
      </w:r>
      <w:r w:rsidRPr="000A6889">
        <w:rPr>
          <w:szCs w:val="22"/>
        </w:rPr>
        <w:t xml:space="preserve"> “Riassegnazione del pontile”; </w:t>
      </w:r>
      <w:r w:rsidRPr="000A6889">
        <w:rPr>
          <w:b/>
          <w:szCs w:val="22"/>
        </w:rPr>
        <w:t>3.8.2</w:t>
      </w:r>
      <w:r w:rsidRPr="000A6889">
        <w:rPr>
          <w:szCs w:val="22"/>
        </w:rPr>
        <w:t xml:space="preserve"> “Controstallie”; </w:t>
      </w:r>
      <w:r w:rsidRPr="000A6889">
        <w:rPr>
          <w:b/>
          <w:szCs w:val="22"/>
        </w:rPr>
        <w:t>3.9</w:t>
      </w:r>
      <w:r w:rsidRPr="000A6889">
        <w:rPr>
          <w:szCs w:val="22"/>
        </w:rPr>
        <w:t xml:space="preserve"> “</w:t>
      </w:r>
      <w:proofErr w:type="spellStart"/>
      <w:r w:rsidRPr="000A6889">
        <w:rPr>
          <w:szCs w:val="22"/>
        </w:rPr>
        <w:t>Boil</w:t>
      </w:r>
      <w:proofErr w:type="spellEnd"/>
      <w:r w:rsidRPr="000A6889">
        <w:rPr>
          <w:szCs w:val="22"/>
        </w:rPr>
        <w:t>-off in Eccesso”.</w:t>
      </w:r>
    </w:p>
    <w:p w:rsidR="002B6E8B" w:rsidRPr="000A6889" w:rsidRDefault="002B6E8B" w:rsidP="002B6E8B">
      <w:pPr>
        <w:rPr>
          <w:szCs w:val="22"/>
        </w:rPr>
      </w:pPr>
      <w:r w:rsidRPr="000A6889">
        <w:rPr>
          <w:szCs w:val="22"/>
        </w:rPr>
        <w:t>CAPITOLO VI:</w:t>
      </w:r>
    </w:p>
    <w:p w:rsidR="002B6E8B" w:rsidRPr="000A6889" w:rsidRDefault="002B6E8B" w:rsidP="002B6E8B">
      <w:pPr>
        <w:rPr>
          <w:szCs w:val="22"/>
        </w:rPr>
      </w:pPr>
      <w:r w:rsidRPr="000A6889">
        <w:rPr>
          <w:b/>
          <w:szCs w:val="22"/>
        </w:rPr>
        <w:t xml:space="preserve">2.1 </w:t>
      </w:r>
      <w:r w:rsidRPr="000A6889">
        <w:rPr>
          <w:szCs w:val="22"/>
        </w:rPr>
        <w:t xml:space="preserve">“Soggetti aventi diritto a presentare richieste per l’aggiornamento del Codice di Rigassificazione”; </w:t>
      </w:r>
      <w:r w:rsidRPr="000A6889">
        <w:rPr>
          <w:b/>
          <w:szCs w:val="22"/>
        </w:rPr>
        <w:t>2.2</w:t>
      </w:r>
      <w:r w:rsidRPr="000A6889">
        <w:rPr>
          <w:szCs w:val="22"/>
        </w:rPr>
        <w:t xml:space="preserve"> “Requisiti di ricevibilità delle richieste”; </w:t>
      </w:r>
      <w:r w:rsidRPr="000A6889">
        <w:rPr>
          <w:b/>
          <w:szCs w:val="22"/>
        </w:rPr>
        <w:t>2.4</w:t>
      </w:r>
      <w:r w:rsidRPr="000A6889">
        <w:rPr>
          <w:szCs w:val="22"/>
        </w:rPr>
        <w:t xml:space="preserve"> “Valutazione della richiesta”; </w:t>
      </w:r>
      <w:r w:rsidRPr="000A6889">
        <w:rPr>
          <w:b/>
          <w:szCs w:val="22"/>
        </w:rPr>
        <w:t>4</w:t>
      </w:r>
      <w:r w:rsidRPr="000A6889">
        <w:rPr>
          <w:szCs w:val="22"/>
        </w:rPr>
        <w:t xml:space="preserve"> “Comunicazioni”.</w:t>
      </w:r>
    </w:p>
    <w:p w:rsidR="002B6E8B" w:rsidRPr="000A6889" w:rsidRDefault="002B6E8B" w:rsidP="002B6E8B">
      <w:pPr>
        <w:rPr>
          <w:szCs w:val="22"/>
        </w:rPr>
      </w:pPr>
      <w:r w:rsidRPr="000A6889">
        <w:rPr>
          <w:szCs w:val="22"/>
        </w:rPr>
        <w:t>ALLEGATO (a):</w:t>
      </w:r>
    </w:p>
    <w:p w:rsidR="002B6E8B" w:rsidRPr="000A6889" w:rsidRDefault="002B6E8B" w:rsidP="002B6E8B">
      <w:pPr>
        <w:rPr>
          <w:szCs w:val="22"/>
        </w:rPr>
      </w:pPr>
      <w:r w:rsidRPr="000A6889">
        <w:rPr>
          <w:szCs w:val="22"/>
        </w:rPr>
        <w:t xml:space="preserve">Istruzioni per la stipula dei Contratti per la Capacità Regolata e per la Capacità Spot: </w:t>
      </w:r>
      <w:r w:rsidRPr="000A6889">
        <w:rPr>
          <w:b/>
          <w:szCs w:val="22"/>
        </w:rPr>
        <w:t>2.3</w:t>
      </w:r>
      <w:r w:rsidRPr="000A6889">
        <w:rPr>
          <w:szCs w:val="22"/>
        </w:rPr>
        <w:t xml:space="preserve"> “</w:t>
      </w:r>
      <w:r w:rsidRPr="000A6889">
        <w:rPr>
          <w:i/>
          <w:szCs w:val="22"/>
        </w:rPr>
        <w:t>Irrevocabilità</w:t>
      </w:r>
      <w:r w:rsidRPr="000A6889">
        <w:rPr>
          <w:szCs w:val="22"/>
        </w:rPr>
        <w:t xml:space="preserve">”; </w:t>
      </w:r>
      <w:r w:rsidRPr="000A6889">
        <w:rPr>
          <w:b/>
          <w:szCs w:val="22"/>
        </w:rPr>
        <w:t>4.2</w:t>
      </w:r>
      <w:r w:rsidRPr="000A6889">
        <w:rPr>
          <w:szCs w:val="22"/>
        </w:rPr>
        <w:t xml:space="preserve">; </w:t>
      </w:r>
      <w:r w:rsidRPr="000A6889">
        <w:rPr>
          <w:b/>
          <w:szCs w:val="22"/>
        </w:rPr>
        <w:t>4.3;</w:t>
      </w:r>
    </w:p>
    <w:p w:rsidR="002B6E8B" w:rsidRPr="000A6889" w:rsidRDefault="002B6E8B" w:rsidP="002B6E8B">
      <w:pPr>
        <w:rPr>
          <w:szCs w:val="22"/>
        </w:rPr>
      </w:pPr>
      <w:r w:rsidRPr="000A6889">
        <w:rPr>
          <w:szCs w:val="22"/>
        </w:rPr>
        <w:t xml:space="preserve">Parte I – Modello di Richiesta di Accesso per tutti i Contratti per la Capacità diversi dai Contratti per la Capacità Esentata: </w:t>
      </w:r>
      <w:r w:rsidRPr="000A6889">
        <w:rPr>
          <w:b/>
          <w:szCs w:val="22"/>
        </w:rPr>
        <w:t>paragrafo dopo la lettera (g)</w:t>
      </w:r>
      <w:r w:rsidRPr="000A6889">
        <w:rPr>
          <w:szCs w:val="22"/>
        </w:rPr>
        <w:t>;</w:t>
      </w:r>
    </w:p>
    <w:p w:rsidR="002B6E8B" w:rsidRPr="000A6889" w:rsidRDefault="002B6E8B" w:rsidP="002B6E8B">
      <w:pPr>
        <w:rPr>
          <w:szCs w:val="22"/>
        </w:rPr>
      </w:pPr>
      <w:r w:rsidRPr="000A6889">
        <w:rPr>
          <w:szCs w:val="22"/>
        </w:rPr>
        <w:t xml:space="preserve">Parte II – Modello di Richiesta di Accesso per la Capacità di Make-up: </w:t>
      </w:r>
      <w:r w:rsidRPr="000A6889">
        <w:rPr>
          <w:b/>
          <w:szCs w:val="22"/>
        </w:rPr>
        <w:t>paragrafo dopo la lettera (g)</w:t>
      </w:r>
      <w:r w:rsidRPr="000A6889">
        <w:rPr>
          <w:szCs w:val="22"/>
        </w:rPr>
        <w:t>;</w:t>
      </w:r>
    </w:p>
    <w:p w:rsidR="002B6E8B" w:rsidRPr="000A6889" w:rsidRDefault="002B6E8B" w:rsidP="002B6E8B">
      <w:pPr>
        <w:rPr>
          <w:szCs w:val="22"/>
        </w:rPr>
      </w:pPr>
      <w:r w:rsidRPr="000A6889">
        <w:rPr>
          <w:szCs w:val="22"/>
        </w:rPr>
        <w:t xml:space="preserve">Parte III – Modello di Accettazione Modificata per il Contratto per la Capacità Regolata: </w:t>
      </w:r>
      <w:r w:rsidRPr="000A6889">
        <w:rPr>
          <w:b/>
          <w:szCs w:val="22"/>
        </w:rPr>
        <w:t>terzo paragrafo</w:t>
      </w:r>
      <w:r w:rsidRPr="000A6889">
        <w:rPr>
          <w:szCs w:val="22"/>
        </w:rPr>
        <w:t>;</w:t>
      </w:r>
    </w:p>
    <w:p w:rsidR="002B6E8B" w:rsidRPr="00BA2367" w:rsidRDefault="002B6E8B" w:rsidP="002B6E8B">
      <w:pPr>
        <w:rPr>
          <w:szCs w:val="22"/>
          <w:u w:val="single"/>
        </w:rPr>
      </w:pPr>
      <w:r w:rsidRPr="000A6889">
        <w:rPr>
          <w:szCs w:val="22"/>
          <w:u w:val="single"/>
        </w:rPr>
        <w:t>Parte IV – Contratto per la Capacità Regolata</w:t>
      </w:r>
      <w:r w:rsidRPr="000A6889">
        <w:rPr>
          <w:szCs w:val="22"/>
        </w:rPr>
        <w:t xml:space="preserve">: articolo </w:t>
      </w:r>
      <w:r w:rsidRPr="000A6889">
        <w:rPr>
          <w:b/>
          <w:szCs w:val="22"/>
        </w:rPr>
        <w:t>5</w:t>
      </w:r>
      <w:r w:rsidRPr="000A6889">
        <w:rPr>
          <w:szCs w:val="22"/>
        </w:rPr>
        <w:t xml:space="preserve"> “</w:t>
      </w:r>
      <w:r w:rsidRPr="000A6889">
        <w:rPr>
          <w:i/>
          <w:szCs w:val="22"/>
        </w:rPr>
        <w:t>Elezione di domicilio e comunicazioni</w:t>
      </w:r>
      <w:r w:rsidRPr="000A6889">
        <w:rPr>
          <w:szCs w:val="22"/>
        </w:rPr>
        <w:t xml:space="preserve">”; articolo </w:t>
      </w:r>
      <w:r w:rsidRPr="000A6889">
        <w:rPr>
          <w:b/>
          <w:szCs w:val="22"/>
        </w:rPr>
        <w:t>6</w:t>
      </w:r>
      <w:r w:rsidRPr="000A6889">
        <w:rPr>
          <w:szCs w:val="22"/>
        </w:rPr>
        <w:t xml:space="preserve"> “</w:t>
      </w:r>
      <w:r w:rsidRPr="000A6889">
        <w:rPr>
          <w:i/>
          <w:szCs w:val="22"/>
        </w:rPr>
        <w:t>Finanziamento del Terminale</w:t>
      </w:r>
      <w:r w:rsidRPr="000A6889">
        <w:rPr>
          <w:szCs w:val="22"/>
        </w:rPr>
        <w:t>”.</w:t>
      </w:r>
    </w:p>
    <w:p w:rsidR="002B6E8B" w:rsidRPr="00BA2367" w:rsidRDefault="002B6E8B" w:rsidP="002B6E8B">
      <w:pPr>
        <w:rPr>
          <w:szCs w:val="22"/>
          <w:u w:val="single"/>
          <w:lang w:val="en-US"/>
        </w:rPr>
      </w:pPr>
      <w:proofErr w:type="spellStart"/>
      <w:r w:rsidRPr="00992262">
        <w:rPr>
          <w:szCs w:val="22"/>
          <w:u w:val="single"/>
          <w:lang w:val="en-US"/>
        </w:rPr>
        <w:t>Allegato</w:t>
      </w:r>
      <w:proofErr w:type="spellEnd"/>
      <w:r w:rsidRPr="00992262">
        <w:rPr>
          <w:szCs w:val="22"/>
          <w:u w:val="single"/>
          <w:lang w:val="en-US"/>
        </w:rPr>
        <w:t xml:space="preserve"> (2) - Direct Agreement</w:t>
      </w:r>
      <w:r w:rsidRPr="00992262">
        <w:rPr>
          <w:szCs w:val="22"/>
          <w:lang w:val="en-US"/>
        </w:rPr>
        <w:t xml:space="preserve">: Recital E; clause </w:t>
      </w:r>
      <w:r w:rsidRPr="00992262">
        <w:rPr>
          <w:b/>
          <w:szCs w:val="22"/>
          <w:lang w:val="en-US"/>
        </w:rPr>
        <w:t>2</w:t>
      </w:r>
      <w:r w:rsidRPr="00992262">
        <w:rPr>
          <w:szCs w:val="22"/>
          <w:lang w:val="en-US"/>
        </w:rPr>
        <w:t xml:space="preserve"> “Consent to assignment and Step-In Rights”; clause </w:t>
      </w:r>
      <w:r w:rsidRPr="00992262">
        <w:rPr>
          <w:b/>
          <w:szCs w:val="22"/>
          <w:lang w:val="en-US"/>
        </w:rPr>
        <w:t>3</w:t>
      </w:r>
      <w:r w:rsidRPr="00992262">
        <w:rPr>
          <w:szCs w:val="22"/>
          <w:lang w:val="en-US"/>
        </w:rPr>
        <w:t xml:space="preserve"> “Payments under the Capacity Agreement”; clause </w:t>
      </w:r>
      <w:r w:rsidRPr="00992262">
        <w:rPr>
          <w:b/>
          <w:szCs w:val="22"/>
          <w:lang w:val="en-US"/>
        </w:rPr>
        <w:t>6.7</w:t>
      </w:r>
      <w:r w:rsidRPr="00992262">
        <w:rPr>
          <w:szCs w:val="22"/>
          <w:lang w:val="en-US"/>
        </w:rPr>
        <w:t xml:space="preserve"> “Arbitration”; clause </w:t>
      </w:r>
      <w:r w:rsidRPr="00992262">
        <w:rPr>
          <w:b/>
          <w:szCs w:val="22"/>
          <w:lang w:val="en-US"/>
        </w:rPr>
        <w:t>6.9</w:t>
      </w:r>
      <w:r w:rsidRPr="00992262">
        <w:rPr>
          <w:szCs w:val="22"/>
          <w:lang w:val="en-US"/>
        </w:rPr>
        <w:t xml:space="preserve"> “Termination”; clause </w:t>
      </w:r>
      <w:r w:rsidRPr="00992262">
        <w:rPr>
          <w:b/>
          <w:szCs w:val="22"/>
          <w:lang w:val="en-US"/>
        </w:rPr>
        <w:t>6.10</w:t>
      </w:r>
      <w:r w:rsidRPr="00992262">
        <w:rPr>
          <w:szCs w:val="22"/>
          <w:lang w:val="en-US"/>
        </w:rPr>
        <w:t xml:space="preserve"> “Conflicts of documents”.</w:t>
      </w:r>
    </w:p>
    <w:p w:rsidR="002B6E8B" w:rsidRPr="00BA2367" w:rsidRDefault="002B6E8B" w:rsidP="002B6E8B">
      <w:pPr>
        <w:rPr>
          <w:szCs w:val="22"/>
          <w:u w:val="single"/>
        </w:rPr>
      </w:pPr>
      <w:r w:rsidRPr="000A6889">
        <w:rPr>
          <w:szCs w:val="22"/>
          <w:u w:val="single"/>
        </w:rPr>
        <w:t>Parte V – Contratto per la Capacità Spot</w:t>
      </w:r>
      <w:r w:rsidRPr="000A6889">
        <w:rPr>
          <w:szCs w:val="22"/>
        </w:rPr>
        <w:t xml:space="preserve">: articolo </w:t>
      </w:r>
      <w:r w:rsidRPr="000A6889">
        <w:rPr>
          <w:b/>
          <w:szCs w:val="22"/>
        </w:rPr>
        <w:t>5</w:t>
      </w:r>
      <w:r w:rsidRPr="000A6889">
        <w:rPr>
          <w:szCs w:val="22"/>
        </w:rPr>
        <w:t xml:space="preserve"> “</w:t>
      </w:r>
      <w:r w:rsidRPr="000A6889">
        <w:rPr>
          <w:i/>
          <w:szCs w:val="22"/>
        </w:rPr>
        <w:t>Elezione di domicilio e comunicazioni</w:t>
      </w:r>
      <w:r w:rsidRPr="000A6889">
        <w:rPr>
          <w:szCs w:val="22"/>
        </w:rPr>
        <w:t xml:space="preserve">” </w:t>
      </w:r>
    </w:p>
    <w:p w:rsidR="002B6E8B" w:rsidRPr="000A6889" w:rsidRDefault="002B6E8B" w:rsidP="002B6E8B">
      <w:pPr>
        <w:rPr>
          <w:szCs w:val="22"/>
        </w:rPr>
      </w:pPr>
      <w:r w:rsidRPr="000A6889">
        <w:rPr>
          <w:szCs w:val="22"/>
        </w:rPr>
        <w:t xml:space="preserve">Allegato (e) – Modello di Dichiarazione di Rilascio: </w:t>
      </w:r>
      <w:r w:rsidRPr="000A6889">
        <w:rPr>
          <w:b/>
          <w:szCs w:val="22"/>
        </w:rPr>
        <w:t>ultimo paragrafo</w:t>
      </w:r>
      <w:r w:rsidRPr="000A6889">
        <w:rPr>
          <w:szCs w:val="22"/>
        </w:rPr>
        <w:t>.</w:t>
      </w:r>
    </w:p>
    <w:p w:rsidR="002B6E8B" w:rsidRPr="00EB3522" w:rsidRDefault="002B6E8B" w:rsidP="002B6E8B">
      <w:pPr>
        <w:pStyle w:val="AODocTxt"/>
        <w:ind w:left="709"/>
        <w:rPr>
          <w:rFonts w:ascii="Times New Roman" w:hAnsi="Times New Roman"/>
          <w:b/>
          <w:lang w:val="it-IT"/>
        </w:rPr>
      </w:pPr>
      <w:r w:rsidRPr="000A6889">
        <w:rPr>
          <w:rFonts w:ascii="Times New Roman" w:hAnsi="Times New Roman"/>
          <w:b/>
          <w:lang w:val="it-IT"/>
        </w:rPr>
        <w:t>L’elenco delle clausole vessatorie dovrà essere modificato o integrato in base alle modifiche del Codice di</w:t>
      </w:r>
      <w:r>
        <w:rPr>
          <w:rFonts w:ascii="Times New Roman" w:hAnsi="Times New Roman"/>
          <w:b/>
          <w:lang w:val="it-IT"/>
        </w:rPr>
        <w:t xml:space="preserve"> Rigassificazione</w:t>
      </w:r>
      <w:r w:rsidRPr="000A6889">
        <w:rPr>
          <w:rFonts w:ascii="Times New Roman" w:hAnsi="Times New Roman"/>
          <w:b/>
          <w:lang w:val="it-IT"/>
        </w:rPr>
        <w:t xml:space="preserve"> eventualmente richieste </w:t>
      </w:r>
      <w:r w:rsidRPr="00EB3522">
        <w:rPr>
          <w:rFonts w:ascii="Times New Roman" w:hAnsi="Times New Roman"/>
          <w:b/>
          <w:lang w:val="it-IT"/>
        </w:rPr>
        <w:t xml:space="preserve">dall’ARERA. </w:t>
      </w:r>
    </w:p>
    <w:p w:rsidR="002B6E8B" w:rsidRPr="000A6889" w:rsidRDefault="002B6E8B" w:rsidP="002B6E8B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[</w:t>
      </w:r>
      <w:r w:rsidRPr="000A6889">
        <w:rPr>
          <w:rFonts w:ascii="Times New Roman" w:hAnsi="Times New Roman"/>
          <w:i/>
          <w:iCs/>
          <w:lang w:val="it-IT"/>
        </w:rPr>
        <w:t>Richiedente</w:t>
      </w:r>
      <w:r w:rsidRPr="000A6889">
        <w:rPr>
          <w:rFonts w:ascii="Times New Roman" w:hAnsi="Times New Roman"/>
          <w:lang w:val="it-IT"/>
        </w:rPr>
        <w:t>]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1"/>
      </w:tblGrid>
      <w:tr w:rsidR="002B6E8B" w:rsidRPr="000A6889" w:rsidTr="00715DA6">
        <w:tc>
          <w:tcPr>
            <w:tcW w:w="4621" w:type="dxa"/>
          </w:tcPr>
          <w:p w:rsidR="002B6E8B" w:rsidRPr="000A6889" w:rsidRDefault="002B6E8B" w:rsidP="00715DA6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Firmato:_________________________</w:t>
            </w:r>
          </w:p>
        </w:tc>
      </w:tr>
      <w:tr w:rsidR="002B6E8B" w:rsidRPr="000A6889" w:rsidTr="00715DA6">
        <w:tc>
          <w:tcPr>
            <w:tcW w:w="4621" w:type="dxa"/>
          </w:tcPr>
          <w:p w:rsidR="002B6E8B" w:rsidRPr="000A6889" w:rsidRDefault="002B6E8B" w:rsidP="00715DA6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lastRenderedPageBreak/>
              <w:t>Nome:</w:t>
            </w:r>
          </w:p>
        </w:tc>
      </w:tr>
      <w:tr w:rsidR="002B6E8B" w:rsidRPr="000A6889" w:rsidTr="00715DA6">
        <w:tc>
          <w:tcPr>
            <w:tcW w:w="4621" w:type="dxa"/>
          </w:tcPr>
          <w:p w:rsidR="002B6E8B" w:rsidRPr="000A6889" w:rsidRDefault="002B6E8B" w:rsidP="00715DA6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In qualità di:</w:t>
            </w:r>
          </w:p>
        </w:tc>
      </w:tr>
      <w:tr w:rsidR="002B6E8B" w:rsidRPr="000A6889" w:rsidTr="00715DA6">
        <w:tc>
          <w:tcPr>
            <w:tcW w:w="4621" w:type="dxa"/>
          </w:tcPr>
          <w:p w:rsidR="002B6E8B" w:rsidRPr="000A6889" w:rsidRDefault="002B6E8B" w:rsidP="00715DA6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</w:p>
        </w:tc>
      </w:tr>
      <w:tr w:rsidR="002B6E8B" w:rsidRPr="000A6889" w:rsidTr="00715DA6">
        <w:tc>
          <w:tcPr>
            <w:tcW w:w="4621" w:type="dxa"/>
          </w:tcPr>
          <w:p w:rsidR="002B6E8B" w:rsidRPr="000A6889" w:rsidRDefault="002B6E8B" w:rsidP="00715DA6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Per accettazione:</w:t>
            </w:r>
          </w:p>
        </w:tc>
      </w:tr>
    </w:tbl>
    <w:p w:rsidR="002B6E8B" w:rsidRPr="000A6889" w:rsidRDefault="002B6E8B" w:rsidP="002B6E8B">
      <w:pPr>
        <w:pStyle w:val="AODocTxt"/>
        <w:numPr>
          <w:ilvl w:val="0"/>
          <w:numId w:val="0"/>
        </w:numPr>
        <w:ind w:left="709"/>
        <w:rPr>
          <w:rFonts w:ascii="Times New Roman" w:hAnsi="Times New Roman"/>
          <w:lang w:val="it-IT"/>
        </w:rPr>
      </w:pPr>
      <w:r w:rsidRPr="000A6889">
        <w:rPr>
          <w:rFonts w:ascii="Times New Roman" w:hAnsi="Times New Roman"/>
          <w:lang w:val="it-IT"/>
        </w:rPr>
        <w:t>Terminale GNL Adriatico S.r.l.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1"/>
      </w:tblGrid>
      <w:tr w:rsidR="002B6E8B" w:rsidRPr="000A6889" w:rsidTr="00715DA6">
        <w:tc>
          <w:tcPr>
            <w:tcW w:w="4621" w:type="dxa"/>
          </w:tcPr>
          <w:p w:rsidR="002B6E8B" w:rsidRPr="000A6889" w:rsidRDefault="002B6E8B" w:rsidP="00715DA6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Firmato:_________________________</w:t>
            </w:r>
          </w:p>
        </w:tc>
      </w:tr>
      <w:tr w:rsidR="002B6E8B" w:rsidRPr="000A6889" w:rsidTr="00715DA6">
        <w:tc>
          <w:tcPr>
            <w:tcW w:w="4621" w:type="dxa"/>
          </w:tcPr>
          <w:p w:rsidR="002B6E8B" w:rsidRPr="000A6889" w:rsidRDefault="002B6E8B" w:rsidP="00715DA6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Nome:</w:t>
            </w:r>
          </w:p>
        </w:tc>
      </w:tr>
      <w:tr w:rsidR="002B6E8B" w:rsidRPr="000A6889" w:rsidTr="00715DA6">
        <w:tc>
          <w:tcPr>
            <w:tcW w:w="4621" w:type="dxa"/>
          </w:tcPr>
          <w:p w:rsidR="002B6E8B" w:rsidRPr="000A6889" w:rsidRDefault="002B6E8B" w:rsidP="00715DA6">
            <w:pPr>
              <w:pStyle w:val="AODocTxt"/>
              <w:ind w:left="709"/>
              <w:rPr>
                <w:rFonts w:ascii="Times New Roman" w:hAnsi="Times New Roman"/>
                <w:lang w:val="it-IT"/>
              </w:rPr>
            </w:pPr>
            <w:r w:rsidRPr="000A6889">
              <w:rPr>
                <w:rFonts w:ascii="Times New Roman" w:hAnsi="Times New Roman"/>
                <w:lang w:val="it-IT"/>
              </w:rPr>
              <w:t>In qualità di:</w:t>
            </w:r>
          </w:p>
        </w:tc>
      </w:tr>
    </w:tbl>
    <w:p w:rsidR="002B6E8B" w:rsidRPr="0077055E" w:rsidRDefault="002B6E8B" w:rsidP="002B6E8B">
      <w:pPr>
        <w:pStyle w:val="Quote"/>
      </w:pPr>
      <w:r w:rsidRPr="000A6889">
        <w:br w:type="page"/>
      </w:r>
      <w:r w:rsidRPr="0077055E">
        <w:lastRenderedPageBreak/>
        <w:t xml:space="preserve">Allegato (1) </w:t>
      </w:r>
      <w:r w:rsidRPr="0077055E">
        <w:fldChar w:fldCharType="begin"/>
      </w:r>
      <w:r w:rsidRPr="0077055E">
        <w:instrText xml:space="preserve"> TC "</w:instrText>
      </w:r>
      <w:bookmarkStart w:id="3" w:name="_Toc288726262"/>
      <w:r w:rsidRPr="0077055E">
        <w:instrText>-</w:instrText>
      </w:r>
      <w:r w:rsidRPr="0077055E">
        <w:tab/>
        <w:instrText>Allegato (1)</w:instrText>
      </w:r>
      <w:bookmarkEnd w:id="3"/>
      <w:r w:rsidRPr="0077055E">
        <w:instrText xml:space="preserve">" \f C \l "4" </w:instrText>
      </w:r>
      <w:r w:rsidRPr="0077055E">
        <w:fldChar w:fldCharType="end"/>
      </w:r>
    </w:p>
    <w:p w:rsidR="002B6E8B" w:rsidRPr="0077055E" w:rsidRDefault="002B6E8B" w:rsidP="002B6E8B">
      <w:pPr>
        <w:pStyle w:val="AODocTxt"/>
        <w:numPr>
          <w:ilvl w:val="0"/>
          <w:numId w:val="0"/>
        </w:numPr>
        <w:jc w:val="center"/>
        <w:rPr>
          <w:rFonts w:ascii="Times New Roman" w:hAnsi="Times New Roman"/>
          <w:b/>
          <w:lang w:val="it-IT"/>
        </w:rPr>
      </w:pPr>
    </w:p>
    <w:p w:rsidR="002B6E8B" w:rsidRPr="0077055E" w:rsidRDefault="002B6E8B" w:rsidP="002B6E8B">
      <w:pPr>
        <w:pStyle w:val="AODocTxt"/>
        <w:rPr>
          <w:rFonts w:ascii="Times New Roman" w:hAnsi="Times New Roman"/>
          <w:lang w:val="it-IT"/>
        </w:rPr>
      </w:pPr>
      <w:r w:rsidRPr="00EB3522">
        <w:rPr>
          <w:rFonts w:ascii="Times New Roman" w:hAnsi="Times New Roman"/>
          <w:lang w:val="it-IT"/>
        </w:rPr>
        <w:t>[</w:t>
      </w:r>
      <w:r w:rsidRPr="00EB3522">
        <w:rPr>
          <w:rFonts w:ascii="Times New Roman" w:hAnsi="Times New Roman"/>
          <w:i/>
          <w:lang w:val="it-IT"/>
        </w:rPr>
        <w:t>L’Utente dovrà inserire l’Allegato (1) come pubblicato dal Gestore sul Sistema di Comunicazione Elettronico con riferimento alla</w:t>
      </w:r>
      <w:r w:rsidRPr="0077055E">
        <w:rPr>
          <w:rFonts w:ascii="Times New Roman" w:hAnsi="Times New Roman"/>
          <w:i/>
          <w:lang w:val="it-IT"/>
        </w:rPr>
        <w:t xml:space="preserve"> capacità che è oggetto, e per il termine, del Contratto per la Capacità</w:t>
      </w:r>
      <w:r w:rsidRPr="0077055E">
        <w:rPr>
          <w:rFonts w:ascii="Times New Roman" w:hAnsi="Times New Roman"/>
          <w:lang w:val="it-IT"/>
        </w:rPr>
        <w:t xml:space="preserve">] </w:t>
      </w:r>
    </w:p>
    <w:p w:rsidR="002B6E8B" w:rsidRDefault="002B6E8B" w:rsidP="002B6E8B">
      <w:pPr>
        <w:pStyle w:val="AODocTxt"/>
        <w:rPr>
          <w:lang w:val="it-IT"/>
        </w:rPr>
      </w:pPr>
    </w:p>
    <w:p w:rsidR="00520485" w:rsidRDefault="00520485"/>
    <w:sectPr w:rsidR="00520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B1" w:rsidRDefault="00AA1CB1" w:rsidP="002B6E8B">
      <w:pPr>
        <w:spacing w:before="0"/>
      </w:pPr>
      <w:r>
        <w:separator/>
      </w:r>
    </w:p>
  </w:endnote>
  <w:endnote w:type="continuationSeparator" w:id="0">
    <w:p w:rsidR="00AA1CB1" w:rsidRDefault="00AA1CB1" w:rsidP="002B6E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B1" w:rsidRDefault="00AA1CB1" w:rsidP="002B6E8B">
      <w:pPr>
        <w:spacing w:before="0"/>
      </w:pPr>
      <w:r>
        <w:separator/>
      </w:r>
    </w:p>
  </w:footnote>
  <w:footnote w:type="continuationSeparator" w:id="0">
    <w:p w:rsidR="00AA1CB1" w:rsidRDefault="00AA1CB1" w:rsidP="002B6E8B">
      <w:pPr>
        <w:spacing w:before="0"/>
      </w:pPr>
      <w:r>
        <w:continuationSeparator/>
      </w:r>
    </w:p>
  </w:footnote>
  <w:footnote w:id="1">
    <w:p w:rsidR="002B6E8B" w:rsidRPr="0077055E" w:rsidRDefault="002B6E8B" w:rsidP="002B6E8B">
      <w:pPr>
        <w:pStyle w:val="FootnoteText"/>
        <w:ind w:left="181" w:hanging="181"/>
        <w:jc w:val="both"/>
        <w:rPr>
          <w:rFonts w:ascii="Times New Roman" w:hAnsi="Times New Roman"/>
          <w:lang w:val="it-IT"/>
        </w:rPr>
      </w:pPr>
      <w:r w:rsidRPr="0077055E">
        <w:rPr>
          <w:rStyle w:val="FootnoteReference"/>
          <w:rFonts w:ascii="Times New Roman" w:hAnsi="Times New Roman"/>
        </w:rPr>
        <w:footnoteRef/>
      </w:r>
      <w:r w:rsidRPr="0077055E">
        <w:rPr>
          <w:rFonts w:ascii="Times New Roman" w:hAnsi="Times New Roman"/>
          <w:lang w:val="it-IT"/>
        </w:rPr>
        <w:t xml:space="preserve"> Resta inteso che il Richiedente diverrà un Utilizzatore solo successivamente a, ed in conseguenza della, accettazione della Richiesta di Accesso o dell'Accettazione Modificata (a cui il presente Contratto è allegato) da parte del Gestore o del Richiedente, a seconda dei casi. Pertanto, prima del perfezionamento del presente Contratto, il termine Utilizzatore nel presente Contratto dovrà intendersi come riferito al Richiedente.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59A"/>
    <w:multiLevelType w:val="multilevel"/>
    <w:tmpl w:val="75246DD8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8B"/>
    <w:rsid w:val="001B4FA8"/>
    <w:rsid w:val="00210620"/>
    <w:rsid w:val="002B6E8B"/>
    <w:rsid w:val="00520485"/>
    <w:rsid w:val="00622F20"/>
    <w:rsid w:val="00634F7E"/>
    <w:rsid w:val="00A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9CEB4-4E3F-43C0-B135-F361404B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8B"/>
    <w:pPr>
      <w:spacing w:before="120" w:after="0" w:line="240" w:lineRule="auto"/>
      <w:ind w:left="720"/>
      <w:jc w:val="both"/>
    </w:pPr>
    <w:rPr>
      <w:rFonts w:ascii="Times New Roman" w:eastAsia="SimSun" w:hAnsi="Times New Roman" w:cs="Times New Roman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2B6E8B"/>
    <w:pPr>
      <w:spacing w:after="200" w:line="260" w:lineRule="atLeast"/>
    </w:pPr>
    <w:rPr>
      <w:rFonts w:ascii="Calibri" w:eastAsia="Calibri" w:hAnsi="Calibri" w:cs="Times New Roman"/>
      <w:lang w:val="en-GB"/>
    </w:rPr>
  </w:style>
  <w:style w:type="paragraph" w:customStyle="1" w:styleId="AODocTxt">
    <w:name w:val="AODocTxt"/>
    <w:basedOn w:val="Normal"/>
    <w:rsid w:val="002B6E8B"/>
    <w:pPr>
      <w:numPr>
        <w:numId w:val="1"/>
      </w:numPr>
      <w:spacing w:before="240" w:after="200" w:line="260" w:lineRule="atLeast"/>
    </w:pPr>
    <w:rPr>
      <w:rFonts w:ascii="Calibri" w:eastAsia="Calibri" w:hAnsi="Calibri"/>
      <w:szCs w:val="22"/>
      <w:lang w:val="en-GB" w:eastAsia="en-US"/>
    </w:rPr>
  </w:style>
  <w:style w:type="character" w:styleId="FootnoteReference">
    <w:name w:val="footnote reference"/>
    <w:semiHidden/>
    <w:rsid w:val="002B6E8B"/>
    <w:rPr>
      <w:vertAlign w:val="superscript"/>
    </w:rPr>
  </w:style>
  <w:style w:type="paragraph" w:styleId="FootnoteText">
    <w:name w:val="footnote text"/>
    <w:basedOn w:val="AONormal"/>
    <w:link w:val="FootnoteTextChar"/>
    <w:semiHidden/>
    <w:rsid w:val="002B6E8B"/>
    <w:pPr>
      <w:spacing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B6E8B"/>
    <w:rPr>
      <w:rFonts w:ascii="Calibri" w:eastAsia="Calibri" w:hAnsi="Calibri" w:cs="Times New Roman"/>
      <w:sz w:val="16"/>
      <w:lang w:val="en-GB"/>
    </w:rPr>
  </w:style>
  <w:style w:type="paragraph" w:customStyle="1" w:styleId="AODocTxtL1">
    <w:name w:val="AODocTxtL1"/>
    <w:basedOn w:val="AODocTxt"/>
    <w:rsid w:val="002B6E8B"/>
    <w:pPr>
      <w:numPr>
        <w:ilvl w:val="1"/>
      </w:numPr>
    </w:pPr>
  </w:style>
  <w:style w:type="paragraph" w:customStyle="1" w:styleId="AODocTxtL2">
    <w:name w:val="AODocTxtL2"/>
    <w:basedOn w:val="AODocTxt"/>
    <w:rsid w:val="002B6E8B"/>
    <w:pPr>
      <w:numPr>
        <w:ilvl w:val="2"/>
      </w:numPr>
    </w:pPr>
  </w:style>
  <w:style w:type="paragraph" w:customStyle="1" w:styleId="AODocTxtL3">
    <w:name w:val="AODocTxtL3"/>
    <w:basedOn w:val="AODocTxt"/>
    <w:rsid w:val="002B6E8B"/>
    <w:pPr>
      <w:numPr>
        <w:ilvl w:val="3"/>
      </w:numPr>
    </w:pPr>
  </w:style>
  <w:style w:type="paragraph" w:customStyle="1" w:styleId="AODocTxtL4">
    <w:name w:val="AODocTxtL4"/>
    <w:basedOn w:val="AODocTxt"/>
    <w:rsid w:val="002B6E8B"/>
    <w:pPr>
      <w:numPr>
        <w:ilvl w:val="4"/>
      </w:numPr>
    </w:pPr>
  </w:style>
  <w:style w:type="paragraph" w:customStyle="1" w:styleId="AODocTxtL5">
    <w:name w:val="AODocTxtL5"/>
    <w:basedOn w:val="AODocTxt"/>
    <w:rsid w:val="002B6E8B"/>
    <w:pPr>
      <w:numPr>
        <w:ilvl w:val="5"/>
      </w:numPr>
    </w:pPr>
  </w:style>
  <w:style w:type="paragraph" w:customStyle="1" w:styleId="AODocTxtL6">
    <w:name w:val="AODocTxtL6"/>
    <w:basedOn w:val="AODocTxt"/>
    <w:rsid w:val="002B6E8B"/>
    <w:pPr>
      <w:numPr>
        <w:ilvl w:val="6"/>
      </w:numPr>
    </w:pPr>
  </w:style>
  <w:style w:type="paragraph" w:customStyle="1" w:styleId="AODocTxtL7">
    <w:name w:val="AODocTxtL7"/>
    <w:basedOn w:val="AODocTxt"/>
    <w:rsid w:val="002B6E8B"/>
    <w:pPr>
      <w:numPr>
        <w:ilvl w:val="7"/>
      </w:numPr>
    </w:pPr>
  </w:style>
  <w:style w:type="paragraph" w:customStyle="1" w:styleId="AODocTxtL8">
    <w:name w:val="AODocTxtL8"/>
    <w:basedOn w:val="AODocTxt"/>
    <w:rsid w:val="002B6E8B"/>
    <w:pPr>
      <w:numPr>
        <w:ilvl w:val="8"/>
      </w:numPr>
    </w:pPr>
  </w:style>
  <w:style w:type="paragraph" w:customStyle="1" w:styleId="AOGenNum2">
    <w:name w:val="AOGenNum2"/>
    <w:basedOn w:val="Normal"/>
    <w:next w:val="AOGenNum2Para"/>
    <w:rsid w:val="002B6E8B"/>
    <w:pPr>
      <w:keepNext/>
      <w:numPr>
        <w:numId w:val="2"/>
      </w:numPr>
      <w:spacing w:before="240" w:after="200" w:line="260" w:lineRule="atLeast"/>
    </w:pPr>
    <w:rPr>
      <w:rFonts w:ascii="Calibri" w:eastAsia="Calibri" w:hAnsi="Calibri"/>
      <w:b/>
      <w:szCs w:val="22"/>
      <w:lang w:val="en-GB" w:eastAsia="en-US"/>
    </w:rPr>
  </w:style>
  <w:style w:type="paragraph" w:customStyle="1" w:styleId="AOGenNum2Para">
    <w:name w:val="AOGenNum2Para"/>
    <w:basedOn w:val="AOGenNum2"/>
    <w:next w:val="AOGenNum2List"/>
    <w:rsid w:val="002B6E8B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2B6E8B"/>
    <w:pPr>
      <w:keepNext w:val="0"/>
      <w:numPr>
        <w:ilvl w:val="2"/>
      </w:numPr>
    </w:pPr>
    <w:rPr>
      <w:b w:val="0"/>
    </w:rPr>
  </w:style>
  <w:style w:type="character" w:styleId="Strong">
    <w:name w:val="Strong"/>
    <w:aliases w:val="Allegato livello 1"/>
    <w:uiPriority w:val="22"/>
    <w:qFormat/>
    <w:rsid w:val="002B6E8B"/>
    <w:rPr>
      <w:rFonts w:ascii="Times New Roman" w:hAnsi="Times New Roman"/>
      <w:b/>
      <w:lang w:val="it-IT"/>
    </w:rPr>
  </w:style>
  <w:style w:type="paragraph" w:styleId="Quote">
    <w:name w:val="Quote"/>
    <w:aliases w:val="Allegato Livello 2"/>
    <w:basedOn w:val="AONormal"/>
    <w:next w:val="Normal"/>
    <w:link w:val="QuoteChar"/>
    <w:uiPriority w:val="29"/>
    <w:qFormat/>
    <w:rsid w:val="002B6E8B"/>
    <w:pPr>
      <w:jc w:val="center"/>
    </w:pPr>
    <w:rPr>
      <w:rFonts w:ascii="Times New Roman" w:hAnsi="Times New Roman"/>
      <w:b/>
      <w:lang w:val="it-IT"/>
    </w:rPr>
  </w:style>
  <w:style w:type="character" w:customStyle="1" w:styleId="QuoteChar">
    <w:name w:val="Quote Char"/>
    <w:aliases w:val="Allegato Livello 2 Char"/>
    <w:basedOn w:val="DefaultParagraphFont"/>
    <w:link w:val="Quote"/>
    <w:uiPriority w:val="29"/>
    <w:rsid w:val="002B6E8B"/>
    <w:rPr>
      <w:rFonts w:ascii="Times New Roman" w:eastAsia="Calibri" w:hAnsi="Times New Roman" w:cs="Times New Roman"/>
      <w:b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Disingrini Daniele</dc:creator>
  <cp:keywords/>
  <dc:description/>
  <cp:lastModifiedBy>Pirotta Roberta</cp:lastModifiedBy>
  <cp:revision>3</cp:revision>
  <dcterms:created xsi:type="dcterms:W3CDTF">2019-11-21T16:10:00Z</dcterms:created>
  <dcterms:modified xsi:type="dcterms:W3CDTF">2019-12-04T09:19:00Z</dcterms:modified>
</cp:coreProperties>
</file>