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AF" w:rsidRPr="00BA2367" w:rsidRDefault="006226AF" w:rsidP="006226AF">
      <w:pPr>
        <w:pStyle w:val="AODocTxt"/>
        <w:jc w:val="center"/>
        <w:rPr>
          <w:rStyle w:val="Strong"/>
        </w:rPr>
      </w:pPr>
      <w:r w:rsidRPr="00BA2367">
        <w:rPr>
          <w:rStyle w:val="Strong"/>
        </w:rPr>
        <w:t>Parte II</w:t>
      </w:r>
    </w:p>
    <w:p w:rsidR="006226AF" w:rsidRPr="005F7DF3" w:rsidRDefault="006226AF" w:rsidP="006226AF">
      <w:pPr>
        <w:pStyle w:val="AODocTxt"/>
        <w:jc w:val="center"/>
        <w:rPr>
          <w:rStyle w:val="Strong"/>
        </w:rPr>
      </w:pPr>
      <w:r w:rsidRPr="005F7DF3">
        <w:rPr>
          <w:rStyle w:val="Strong"/>
        </w:rPr>
        <w:t>Modello di Garanzia a Prima Richiesta</w:t>
      </w:r>
    </w:p>
    <w:p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[CARTA INTESTATA DEL GARANTE APPROVATO]</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rsidR="00762A87" w:rsidRDefault="00B04266" w:rsidP="006226AF">
      <w:pPr>
        <w:pStyle w:val="AONormal"/>
        <w:rPr>
          <w:rFonts w:ascii="Times New Roman" w:hAnsi="Times New Roman"/>
          <w:lang w:val="it-IT"/>
        </w:rPr>
      </w:pPr>
      <w:r>
        <w:rPr>
          <w:rFonts w:ascii="Times New Roman" w:hAnsi="Times New Roman"/>
          <w:lang w:val="it-IT"/>
        </w:rPr>
        <w:t>V</w:t>
      </w:r>
      <w:bookmarkStart w:id="0" w:name="_GoBack"/>
      <w:bookmarkEnd w:id="0"/>
      <w:r w:rsidR="00F753F6">
        <w:rPr>
          <w:rFonts w:ascii="Times New Roman" w:hAnsi="Times New Roman"/>
          <w:lang w:val="it-IT"/>
        </w:rPr>
        <w:t xml:space="preserve">ia </w:t>
      </w:r>
      <w:r w:rsidR="00762A87" w:rsidRPr="00762A87">
        <w:rPr>
          <w:rFonts w:ascii="Times New Roman" w:hAnsi="Times New Roman"/>
          <w:lang w:val="it-IT"/>
        </w:rPr>
        <w:t>Santa Radegonda, 8</w:t>
      </w:r>
    </w:p>
    <w:p w:rsidR="006226AF" w:rsidRPr="00966215" w:rsidRDefault="00762A87" w:rsidP="006226AF">
      <w:pPr>
        <w:pStyle w:val="AONormal"/>
        <w:rPr>
          <w:rFonts w:ascii="Times New Roman" w:hAnsi="Times New Roman"/>
          <w:lang w:val="it-IT"/>
        </w:rPr>
      </w:pPr>
      <w:r>
        <w:rPr>
          <w:rFonts w:ascii="Times New Roman" w:hAnsi="Times New Roman"/>
          <w:lang w:val="it-IT"/>
        </w:rPr>
        <w:t>20121</w:t>
      </w:r>
      <w:r w:rsidR="006226AF" w:rsidRPr="00966215">
        <w:rPr>
          <w:rFonts w:ascii="Times New Roman" w:hAnsi="Times New Roman"/>
          <w:lang w:val="it-IT"/>
        </w:rPr>
        <w:t xml:space="preserve"> Milano</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rsidR="006226AF" w:rsidRPr="00966215" w:rsidRDefault="006226AF" w:rsidP="006226AF">
      <w:pPr>
        <w:pStyle w:val="AONormal"/>
        <w:rPr>
          <w:rFonts w:ascii="Times New Roman" w:hAnsi="Times New Roman"/>
          <w:lang w:val="it-IT"/>
        </w:rPr>
      </w:pP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rsidR="006226AF" w:rsidRPr="00966215" w:rsidRDefault="006226AF" w:rsidP="006226AF">
      <w:pPr>
        <w:pStyle w:val="Dpara"/>
        <w:numPr>
          <w:ilvl w:val="2"/>
          <w:numId w:val="4"/>
        </w:numPr>
        <w:rPr>
          <w:rFonts w:ascii="Times New Roman" w:hAnsi="Times New Roman"/>
        </w:rPr>
      </w:pPr>
      <w:r w:rsidRPr="00966215">
        <w:rPr>
          <w:rFonts w:ascii="Times New Roman" w:hAnsi="Times New Roman"/>
        </w:rPr>
        <w:t xml:space="preserve">il codice </w:t>
      </w:r>
      <w:proofErr w:type="gramStart"/>
      <w:r w:rsidRPr="00966215">
        <w:rPr>
          <w:rFonts w:ascii="Times New Roman" w:hAnsi="Times New Roman"/>
        </w:rPr>
        <w:t>di  Rigassificazione</w:t>
      </w:r>
      <w:proofErr w:type="gramEnd"/>
      <w:r w:rsidRPr="00966215">
        <w:rPr>
          <w:rFonts w:ascii="Times New Roman" w:hAnsi="Times New Roman"/>
        </w:rPr>
        <w:t xml:space="preserve"> stabilisce le condizioni di accesso al terminale di rigassificazione di proprietà del Gestore, ubicato a circa 17 km al largo della costa di Porto Levante, Italia, ai sensi dell’articolo 24, capo V del decreto legislativo n. 164/2000 (il “</w:t>
      </w:r>
      <w:r w:rsidRPr="00966215">
        <w:rPr>
          <w:rFonts w:ascii="Times New Roman" w:hAnsi="Times New Roman"/>
          <w:b/>
          <w:bCs/>
        </w:rPr>
        <w:t xml:space="preserve">Codice di </w:t>
      </w:r>
      <w:r w:rsidRPr="00966215">
        <w:rPr>
          <w:rFonts w:ascii="Times New Roman" w:hAnsi="Times New Roman"/>
        </w:rPr>
        <w:t xml:space="preserve"> Rigassificazione”);</w:t>
      </w:r>
    </w:p>
    <w:p w:rsidR="006226AF" w:rsidRPr="00377523" w:rsidRDefault="006226AF" w:rsidP="006226AF">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rsidR="006226AF" w:rsidRPr="001A7D1C" w:rsidRDefault="006226AF" w:rsidP="006226AF">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Pr="001A7D1C">
        <w:rPr>
          <w:rFonts w:ascii="Times New Roman" w:hAnsi="Times New Roman"/>
        </w:rPr>
        <w:t>”) ha stipulato un Contratto per la Capacità (come definito nel Codice di  Rigassificazione) con il Gestore per la prestazione da parte del Gestore del Servizio (come definito nel Codice di Rigassificazione) relativamente all’ammontare della [</w:t>
      </w:r>
      <w:r w:rsidRPr="001A7D1C">
        <w:rPr>
          <w:rFonts w:ascii="Times New Roman" w:hAnsi="Times New Roman"/>
          <w:i/>
        </w:rPr>
        <w:t>Capacità Esentata/Capacità Regolata/Capacità Spot</w:t>
      </w:r>
      <w:r w:rsidRPr="001A7D1C">
        <w:rPr>
          <w:rFonts w:ascii="Times New Roman" w:hAnsi="Times New Roman"/>
        </w:rPr>
        <w:t>]</w:t>
      </w:r>
      <w:r w:rsidRPr="001A7D1C">
        <w:rPr>
          <w:rStyle w:val="FootnoteReference"/>
          <w:rFonts w:ascii="Times New Roman" w:hAnsi="Times New Roman"/>
        </w:rPr>
        <w:footnoteReference w:id="1"/>
      </w:r>
      <w:r w:rsidRPr="001A7D1C">
        <w:rPr>
          <w:rFonts w:ascii="Times New Roman" w:hAnsi="Times New Roman"/>
        </w:rPr>
        <w:t xml:space="preserve"> sottoscritta dall’Utente ai sensi delle disposizioni di tale Contratto per la Capacità (il “</w:t>
      </w:r>
      <w:r w:rsidRPr="001A7D1C">
        <w:rPr>
          <w:rFonts w:ascii="Times New Roman" w:hAnsi="Times New Roman"/>
          <w:b/>
        </w:rPr>
        <w:t>Contratto</w:t>
      </w:r>
      <w:r w:rsidRPr="001A7D1C">
        <w:rPr>
          <w:rFonts w:ascii="Times New Roman" w:hAnsi="Times New Roman"/>
        </w:rPr>
        <w:t>”);</w:t>
      </w:r>
    </w:p>
    <w:p w:rsidR="006226AF" w:rsidRPr="001A7D1C" w:rsidRDefault="006226AF" w:rsidP="006226AF">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Rigassificazione è parte integrante di detto Contratto e ad esso dovrà essere applicato; e </w:t>
      </w:r>
    </w:p>
    <w:p w:rsidR="006226AF" w:rsidRPr="00F345BE" w:rsidRDefault="006226AF" w:rsidP="006226AF">
      <w:pPr>
        <w:pStyle w:val="Dpara"/>
        <w:numPr>
          <w:ilvl w:val="2"/>
          <w:numId w:val="0"/>
        </w:numPr>
        <w:tabs>
          <w:tab w:val="num" w:pos="720"/>
        </w:tabs>
        <w:ind w:left="720" w:hanging="720"/>
        <w:rPr>
          <w:i/>
          <w:iCs/>
        </w:rPr>
      </w:pPr>
      <w:r w:rsidRPr="001A7D1C">
        <w:rPr>
          <w:rFonts w:ascii="Times New Roman" w:hAnsi="Times New Roman"/>
        </w:rPr>
        <w:lastRenderedPageBreak/>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rsidR="006226AF" w:rsidRPr="001A7D1C" w:rsidRDefault="006226AF" w:rsidP="006226AF">
      <w:pPr>
        <w:pStyle w:val="AODocTxt"/>
        <w:rPr>
          <w:rFonts w:ascii="Times New Roman" w:hAnsi="Times New Roman"/>
          <w:lang w:val="it-IT"/>
        </w:rPr>
      </w:pPr>
      <w:r w:rsidRPr="001A7D1C">
        <w:rPr>
          <w:rFonts w:ascii="Times New Roman" w:hAnsi="Times New Roman"/>
          <w:lang w:val="it-IT"/>
        </w:rPr>
        <w:t xml:space="preserve">Nella presente Garanzia parole ed espressioni non diversamente qui definite avranno il medesimo significato attribuito a ciascuna di esse nel Contratto. </w:t>
      </w:r>
    </w:p>
    <w:p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Il Garante garantisce irrevocabilmente di pagare al Gestore, fino alla concorrenza massima dell’Importo (come di seguito definito), il totale di ciascun ammontare dovuto dall’Utente a titolo di Tariffa per il Servizio di Rigassificazione e Costi del Servizio di Riconsegna ai sensi del Contratto che non sia stato corrisposto dall’Utente alla data di scadenza rispettivamente stabilita (gli “</w:t>
      </w:r>
      <w:r w:rsidRPr="001A7D1C">
        <w:rPr>
          <w:rFonts w:ascii="Times New Roman" w:hAnsi="Times New Roman"/>
          <w:b/>
          <w:lang w:val="it-IT"/>
        </w:rPr>
        <w:t>Obblighi Garantiti</w:t>
      </w:r>
      <w:r w:rsidRPr="001A7D1C">
        <w:rPr>
          <w:rFonts w:ascii="Times New Roman" w:hAnsi="Times New Roman"/>
          <w:lang w:val="it-IT"/>
        </w:rPr>
        <w:t>”) a prima richiesta del Gestore (ciascuna richiesta di questo tipo viene definita una “</w:t>
      </w:r>
      <w:r w:rsidRPr="001A7D1C">
        <w:rPr>
          <w:rFonts w:ascii="Times New Roman" w:hAnsi="Times New Roman"/>
          <w:b/>
          <w:lang w:val="it-IT"/>
        </w:rPr>
        <w:t>Richiesta</w:t>
      </w:r>
      <w:r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Per il primo anno 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2"/>
      </w:r>
      <w:r w:rsidRPr="001A7D1C">
        <w:rPr>
          <w:rFonts w:ascii="Times New Roman" w:hAnsi="Times New Roman"/>
          <w:lang w:val="it-IT"/>
        </w:rPr>
        <w:t xml:space="preserve"> euro.</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Impregiudicato il diritto del Garante di risolvere la presente Garanzia ai sensi del seguente paragrafo 4, qualora la validità della presente Garanzia sia prorogata ai sensi del paragrafo 4, l’Importo corrispondente al relativo Periodo di Proroga dovrà essere determinato come segue: l’Utente dovrà, almeno quaranta (40) giorni prima della Data di Scadenza Dichiarata o della Nuova Data di Scadenza (a seconda dei casi), comunicare al Garante, con copia al Gestore, l’Importo corrispondente al predetto Periodo di Proroga determinato in conformità all’Appendice B alla presente Garanzia.</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proroga concessa all’Utente, ovvero qualsiasi acquiescenza nell’ambito del Contratto da parte del Gestore, o qualsiasi ritardo da parte del Gestore nel far valere i propri diritti nei confronti dell’Utente;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assoggettamento dell'Utente a liquidazione, fallimento o altra procedura concorsuale;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entrerà immediatamente in vigore alla data sopra indicata (la “</w:t>
      </w:r>
      <w:r w:rsidRPr="001A7D1C">
        <w:rPr>
          <w:rFonts w:ascii="Times New Roman" w:hAnsi="Times New Roman"/>
          <w:b/>
          <w:lang w:val="it-IT"/>
        </w:rPr>
        <w:t>Data di Entrata in Vigore</w:t>
      </w:r>
      <w:r w:rsidRPr="001A7D1C">
        <w:rPr>
          <w:rFonts w:ascii="Times New Roman" w:hAnsi="Times New Roman"/>
          <w:lang w:val="it-IT"/>
        </w:rPr>
        <w:t>”) e rimarrà in vigore fino alla data del primo anniversario della Data di Entrata in Vigore (la “</w:t>
      </w:r>
      <w:r w:rsidRPr="001A7D1C">
        <w:rPr>
          <w:rFonts w:ascii="Times New Roman" w:hAnsi="Times New Roman"/>
          <w:b/>
          <w:lang w:val="it-IT"/>
        </w:rPr>
        <w:t>Data di Scadenza Dichiarata</w:t>
      </w:r>
      <w:r w:rsidRPr="001A7D1C">
        <w:rPr>
          <w:rFonts w:ascii="Times New Roman" w:hAnsi="Times New Roman"/>
          <w:lang w:val="it-IT"/>
        </w:rPr>
        <w:t>”), fermo restando che la validità della Garanzia dovrà essere automaticamente prorogata per ulteriori periodi consecutivi di 1 (un) anno ciascuno (ciascuno dei detti periodi un “</w:t>
      </w:r>
      <w:r w:rsidRPr="001A7D1C">
        <w:rPr>
          <w:rFonts w:ascii="Times New Roman" w:hAnsi="Times New Roman"/>
          <w:b/>
          <w:bCs/>
          <w:lang w:val="it-IT"/>
        </w:rPr>
        <w:t>Periodo di Proroga</w:t>
      </w:r>
      <w:r w:rsidRPr="001A7D1C">
        <w:rPr>
          <w:rFonts w:ascii="Times New Roman" w:hAnsi="Times New Roman"/>
          <w:lang w:val="it-IT"/>
        </w:rPr>
        <w:t>”), a meno che, almeno 30 (trenta) giorni prima della Data di Scadenza Dichiarata o della data che cade in qualunque anniversario successivo della stessa (la “</w:t>
      </w:r>
      <w:r w:rsidRPr="001A7D1C">
        <w:rPr>
          <w:rFonts w:ascii="Times New Roman" w:hAnsi="Times New Roman"/>
          <w:b/>
          <w:lang w:val="it-IT"/>
        </w:rPr>
        <w:t>Nuova Data di Scadenza</w:t>
      </w:r>
      <w:r w:rsidRPr="001A7D1C">
        <w:rPr>
          <w:rFonts w:ascii="Times New Roman" w:hAnsi="Times New Roman"/>
          <w:lang w:val="it-IT"/>
        </w:rPr>
        <w:t xml:space="preserve">”), a seconda dei casi, il Garante non notifichi per iscritto al Gestore, ai sensi del seguente paragrafo 12, che la Garanzia sarà da ritenersi risolta alla Data di Scadenza Dichiarata, o alla Nuova Data di Scadenza, a seconda dei casi.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di essere una banca o altro istituto </w:t>
      </w:r>
      <w:r w:rsidR="004178EB">
        <w:rPr>
          <w:rFonts w:ascii="Times New Roman" w:hAnsi="Times New Roman"/>
          <w:lang w:val="it-IT"/>
        </w:rPr>
        <w:t xml:space="preserve">di credito </w:t>
      </w:r>
      <w:r w:rsidRPr="001A7D1C">
        <w:rPr>
          <w:rFonts w:ascii="Times New Roman" w:hAnsi="Times New Roman"/>
          <w:lang w:val="it-IT"/>
        </w:rPr>
        <w:t xml:space="preserve">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w:t>
      </w:r>
      <w:r w:rsidR="004178EB">
        <w:rPr>
          <w:rFonts w:ascii="Times New Roman" w:hAnsi="Times New Roman"/>
          <w:lang w:val="it-IT"/>
        </w:rPr>
        <w:t xml:space="preserve">non inferiore ad almeno </w:t>
      </w:r>
      <w:r w:rsidRPr="001A7D1C">
        <w:rPr>
          <w:rFonts w:ascii="Times New Roman" w:hAnsi="Times New Roman"/>
          <w:lang w:val="it-IT"/>
        </w:rPr>
        <w:t xml:space="preserve">2 </w:t>
      </w:r>
      <w:r w:rsidR="004178EB">
        <w:rPr>
          <w:rFonts w:ascii="Times New Roman" w:hAnsi="Times New Roman"/>
          <w:lang w:val="it-IT"/>
        </w:rPr>
        <w:t xml:space="preserve">(due) </w:t>
      </w:r>
      <w:r w:rsidRPr="001A7D1C">
        <w:rPr>
          <w:rFonts w:ascii="Times New Roman" w:hAnsi="Times New Roman"/>
          <w:lang w:val="it-IT"/>
        </w:rPr>
        <w:t xml:space="preserve">dei seguenti </w:t>
      </w:r>
      <w:r w:rsidRPr="001A7D1C">
        <w:rPr>
          <w:rFonts w:ascii="Times New Roman" w:hAnsi="Times New Roman"/>
          <w:i/>
          <w:iCs/>
          <w:lang w:val="it-IT"/>
        </w:rPr>
        <w:t>ratings</w:t>
      </w:r>
      <w:r w:rsidRPr="001A7D1C">
        <w:rPr>
          <w:rFonts w:ascii="Times New Roman" w:hAnsi="Times New Roman"/>
          <w:lang w:val="it-IT"/>
        </w:rPr>
        <w:t xml:space="preserve">: </w:t>
      </w:r>
    </w:p>
    <w:p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w:t>
      </w:r>
      <w:r w:rsidR="004178EB">
        <w:rPr>
          <w:rFonts w:ascii="Times New Roman" w:hAnsi="Times New Roman"/>
          <w:lang w:val="de-DE"/>
        </w:rPr>
        <w:t xml:space="preserve">- </w:t>
      </w:r>
      <w:proofErr w:type="spellStart"/>
      <w:r w:rsidR="004178EB">
        <w:rPr>
          <w:rFonts w:ascii="Times New Roman" w:hAnsi="Times New Roman"/>
          <w:lang w:val="de-DE"/>
        </w:rPr>
        <w:t>emesso</w:t>
      </w:r>
      <w:proofErr w:type="spellEnd"/>
      <w:r w:rsidRPr="001A7D1C">
        <w:rPr>
          <w:rFonts w:ascii="Times New Roman" w:hAnsi="Times New Roman"/>
          <w:lang w:val="de-DE"/>
        </w:rPr>
        <w:t xml:space="preserve"> da S&amp;P;</w:t>
      </w:r>
    </w:p>
    <w:p w:rsidR="006226AF" w:rsidRPr="001A7D1C" w:rsidRDefault="006226AF" w:rsidP="006226AF">
      <w:pPr>
        <w:pStyle w:val="Num3"/>
        <w:ind w:left="1985"/>
        <w:rPr>
          <w:rFonts w:ascii="Times New Roman" w:hAnsi="Times New Roman"/>
        </w:rPr>
      </w:pPr>
      <w:r w:rsidRPr="001A7D1C">
        <w:rPr>
          <w:rFonts w:ascii="Times New Roman" w:hAnsi="Times New Roman"/>
        </w:rPr>
        <w:t>Baa</w:t>
      </w:r>
      <w:r w:rsidR="004178EB">
        <w:rPr>
          <w:rFonts w:ascii="Times New Roman" w:hAnsi="Times New Roman"/>
        </w:rPr>
        <w:t>3</w:t>
      </w:r>
      <w:r w:rsidRPr="001A7D1C">
        <w:rPr>
          <w:rFonts w:ascii="Times New Roman" w:hAnsi="Times New Roman"/>
        </w:rPr>
        <w:t xml:space="preserve"> </w:t>
      </w:r>
      <w:r w:rsidR="004178EB">
        <w:rPr>
          <w:rFonts w:ascii="Times New Roman" w:hAnsi="Times New Roman"/>
        </w:rPr>
        <w:t xml:space="preserve">emesso </w:t>
      </w:r>
      <w:r w:rsidRPr="001A7D1C">
        <w:rPr>
          <w:rFonts w:ascii="Times New Roman" w:hAnsi="Times New Roman"/>
        </w:rPr>
        <w:t xml:space="preserve">da </w:t>
      </w:r>
      <w:proofErr w:type="spellStart"/>
      <w:r w:rsidRPr="001A7D1C">
        <w:rPr>
          <w:rFonts w:ascii="Times New Roman" w:hAnsi="Times New Roman"/>
        </w:rPr>
        <w:t>Moody's</w:t>
      </w:r>
      <w:proofErr w:type="spellEnd"/>
      <w:r w:rsidRPr="001A7D1C">
        <w:rPr>
          <w:rFonts w:ascii="Times New Roman" w:hAnsi="Times New Roman"/>
        </w:rPr>
        <w:t>; e/o</w:t>
      </w:r>
    </w:p>
    <w:p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w:t>
      </w:r>
      <w:r w:rsidR="005C5479">
        <w:rPr>
          <w:rFonts w:ascii="Times New Roman" w:hAnsi="Times New Roman"/>
          <w:lang w:val="de-DE"/>
        </w:rPr>
        <w:t xml:space="preserve"> emesso</w:t>
      </w:r>
      <w:r w:rsidRPr="001A7D1C">
        <w:rPr>
          <w:rFonts w:ascii="Times New Roman" w:hAnsi="Times New Roman"/>
          <w:lang w:val="de-DE"/>
        </w:rPr>
        <w:t xml:space="preserve"> da Fitch Ratings; e</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dell’Utente, ai sensi del Contratto o della legge.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In caso di ritardo nel pagamento degli Obblighi Garantiti, il Garante verserà al Gestore gli interessi di mora agli stessi termini e secondo le stesse condizioni previste dal Codice </w:t>
      </w:r>
      <w:proofErr w:type="gramStart"/>
      <w:r w:rsidRPr="001A7D1C">
        <w:rPr>
          <w:rFonts w:ascii="Times New Roman" w:hAnsi="Times New Roman"/>
          <w:lang w:val="it-IT"/>
        </w:rPr>
        <w:t>di  Rigassificazione</w:t>
      </w:r>
      <w:proofErr w:type="gramEnd"/>
      <w:r w:rsidRPr="001A7D1C">
        <w:rPr>
          <w:rFonts w:ascii="Times New Roman" w:hAnsi="Times New Roman"/>
          <w:lang w:val="it-IT"/>
        </w:rPr>
        <w:t>.</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w:t>
      </w:r>
      <w:proofErr w:type="spellStart"/>
      <w:r w:rsidRPr="001A7D1C">
        <w:rPr>
          <w:rFonts w:ascii="Times New Roman" w:hAnsi="Times New Roman"/>
          <w:lang w:val="it-IT"/>
        </w:rPr>
        <w:t>altra</w:t>
      </w:r>
      <w:proofErr w:type="spellEnd"/>
      <w:r w:rsidRPr="001A7D1C">
        <w:rPr>
          <w:rFonts w:ascii="Times New Roman" w:hAnsi="Times New Roman"/>
          <w:lang w:val="it-IT"/>
        </w:rPr>
        <w:t xml:space="preserve"> qualsivoglia ragione, e qualora tale condizione non venga soddisfatta, il Gestore sarà autorizzato ad escutere la Garanzia come se tale rinuncia, esonero o compensazione non avesse avuto luogo e non fosse stato effettuato alcun pagamento.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w:t>
      </w:r>
      <w:proofErr w:type="gramStart"/>
      <w:r w:rsidRPr="001A7D1C">
        <w:rPr>
          <w:rFonts w:ascii="Times New Roman" w:hAnsi="Times New Roman"/>
          <w:lang w:val="it-IT"/>
        </w:rPr>
        <w:t>la presente</w:t>
      </w:r>
      <w:proofErr w:type="gramEnd"/>
      <w:r w:rsidRPr="001A7D1C">
        <w:rPr>
          <w:rFonts w:ascii="Times New Roman" w:hAnsi="Times New Roman"/>
          <w:lang w:val="it-IT"/>
        </w:rPr>
        <w:t xml:space="preserv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Garanzia è rilasciata a beneficio del Gestore e dei suoi successori, cessionari e aventi diritto, in relazione al Contratto. </w:t>
      </w:r>
    </w:p>
    <w:p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 o (ii) a cura dell’Utente ad una o entrambe le Parti ai sensi della Garanzia, o in relazione ad essa, dovrà avvenire per iscritto e dovrà essere sottoscritto dalla Parte, che lo notifica, o in suo nome e per suo conto, o dall’Utente, a seconda dei casi. Tale avviso dovrà essere inviato a mezzo fax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 sarà ritenuto debitamente dato: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se a mezzo fax al momento della trasmissione come indicato nel rapporto di trasmissione;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 e numeri di fax delle Parti e dell’Utente ai fini del paragrafo 12(A) sono i seguenti: </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00F753F6">
        <w:rPr>
          <w:rFonts w:ascii="Times New Roman" w:hAnsi="Times New Roman"/>
          <w:lang w:val="it-IT"/>
        </w:rPr>
        <w:t xml:space="preserve">via </w:t>
      </w:r>
      <w:r w:rsidR="00762A87" w:rsidRPr="00762A87">
        <w:rPr>
          <w:rFonts w:ascii="Times New Roman" w:hAnsi="Times New Roman"/>
          <w:lang w:val="it-IT"/>
        </w:rPr>
        <w:t>Santa Radegonda, 8</w:t>
      </w:r>
      <w:r w:rsidR="00F753F6">
        <w:rPr>
          <w:rFonts w:ascii="Times New Roman" w:hAnsi="Times New Roman"/>
          <w:lang w:val="it-IT"/>
        </w:rPr>
        <w:t xml:space="preserve"> </w:t>
      </w:r>
      <w:r w:rsidR="00762A87">
        <w:rPr>
          <w:rFonts w:ascii="Times New Roman" w:hAnsi="Times New Roman"/>
          <w:lang w:val="it-IT"/>
        </w:rPr>
        <w:t>– 20121</w:t>
      </w:r>
      <w:r w:rsidRPr="00C84750">
        <w:rPr>
          <w:rFonts w:ascii="Times New Roman" w:hAnsi="Times New Roman"/>
          <w:lang w:val="it-IT"/>
        </w:rPr>
        <w:t xml:space="preserve"> Milano</w:t>
      </w:r>
    </w:p>
    <w:p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02636981</w:t>
      </w:r>
    </w:p>
    <w:p w:rsidR="006226AF" w:rsidRPr="001A7D1C" w:rsidRDefault="006226AF" w:rsidP="006226AF">
      <w:pPr>
        <w:pStyle w:val="AONormal"/>
        <w:ind w:left="720"/>
        <w:rPr>
          <w:rFonts w:ascii="Times New Roman" w:hAnsi="Times New Roman"/>
          <w:lang w:val="it-IT"/>
        </w:rPr>
      </w:pPr>
      <w:r w:rsidRPr="00C84750">
        <w:rPr>
          <w:rFonts w:ascii="Times New Roman" w:hAnsi="Times New Roman"/>
          <w:lang w:val="it-IT"/>
        </w:rPr>
        <w:t>Fax: +39 02.44386377</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Fax:</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Indirizzo:</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Fax:</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e l’Utente può comunicare alle Parti la variazione della propria denominazione, del relativo destinatario, dell’indirizzo o numero di fax ai fini del presente paragrafo 12, restando inteso che tale avviso avrà effetto unicamente:</w:t>
      </w:r>
    </w:p>
    <w:p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rsidR="006226AF" w:rsidRPr="001A7D1C" w:rsidRDefault="006226AF" w:rsidP="006226AF">
      <w:pPr>
        <w:rPr>
          <w:szCs w:val="22"/>
        </w:rPr>
      </w:pPr>
    </w:p>
    <w:p w:rsidR="006226AF" w:rsidRPr="001A7D1C" w:rsidRDefault="006226AF" w:rsidP="006226AF">
      <w:pPr>
        <w:rPr>
          <w:szCs w:val="22"/>
        </w:rPr>
      </w:pPr>
      <w:r w:rsidRPr="001A7D1C">
        <w:rPr>
          <w:szCs w:val="22"/>
        </w:rPr>
        <w:t>Il Garante accetta incondizionatamente, ai sensi e per gli effetti degli articoli 1341 e 1342 del codice civile, i seguenti articoli della presente Garanzia a Prima Richiesta:</w:t>
      </w:r>
    </w:p>
    <w:p w:rsidR="006226AF" w:rsidRPr="001A7D1C" w:rsidRDefault="006226AF" w:rsidP="006226AF">
      <w:pPr>
        <w:rPr>
          <w:szCs w:val="22"/>
        </w:rPr>
      </w:pPr>
    </w:p>
    <w:p w:rsidR="006226AF" w:rsidRPr="001A7D1C" w:rsidRDefault="006226AF" w:rsidP="006226AF">
      <w:pPr>
        <w:rPr>
          <w:szCs w:val="22"/>
        </w:rPr>
      </w:pPr>
      <w:r w:rsidRPr="001A7D1C">
        <w:rPr>
          <w:szCs w:val="22"/>
        </w:rPr>
        <w:t>- articolo 1;</w:t>
      </w:r>
    </w:p>
    <w:p w:rsidR="006226AF" w:rsidRPr="001A7D1C" w:rsidRDefault="006226AF" w:rsidP="006226AF">
      <w:pPr>
        <w:rPr>
          <w:szCs w:val="22"/>
        </w:rPr>
      </w:pPr>
      <w:r w:rsidRPr="001A7D1C">
        <w:rPr>
          <w:szCs w:val="22"/>
        </w:rPr>
        <w:t>- articolo 3;</w:t>
      </w:r>
    </w:p>
    <w:p w:rsidR="006226AF" w:rsidRPr="001A7D1C" w:rsidRDefault="006226AF" w:rsidP="006226AF">
      <w:pPr>
        <w:rPr>
          <w:szCs w:val="22"/>
        </w:rPr>
      </w:pPr>
      <w:r w:rsidRPr="001A7D1C">
        <w:rPr>
          <w:szCs w:val="22"/>
        </w:rPr>
        <w:t>- articolo 4;</w:t>
      </w:r>
    </w:p>
    <w:p w:rsidR="006226AF" w:rsidRPr="001A7D1C" w:rsidRDefault="006226AF" w:rsidP="006226AF">
      <w:pPr>
        <w:rPr>
          <w:szCs w:val="22"/>
        </w:rPr>
      </w:pPr>
      <w:r w:rsidRPr="001A7D1C">
        <w:rPr>
          <w:szCs w:val="22"/>
        </w:rPr>
        <w:t>- articolo 6;</w:t>
      </w:r>
    </w:p>
    <w:p w:rsidR="006226AF" w:rsidRPr="001A7D1C" w:rsidRDefault="006226AF" w:rsidP="006226AF">
      <w:pPr>
        <w:rPr>
          <w:szCs w:val="22"/>
        </w:rPr>
      </w:pPr>
      <w:r w:rsidRPr="001A7D1C">
        <w:rPr>
          <w:szCs w:val="22"/>
        </w:rPr>
        <w:t>- articolo 8;</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9;</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10; e</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p>
    <w:p w:rsidR="006226AF" w:rsidRPr="001A7D1C" w:rsidRDefault="006226AF" w:rsidP="006226AF">
      <w:pPr>
        <w:rPr>
          <w:szCs w:val="22"/>
        </w:rPr>
      </w:pP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Firmato:</w:t>
      </w:r>
    </w:p>
    <w:p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73" w:rsidRDefault="008B4373" w:rsidP="006226AF">
      <w:pPr>
        <w:spacing w:before="0"/>
      </w:pPr>
      <w:r>
        <w:separator/>
      </w:r>
    </w:p>
  </w:endnote>
  <w:endnote w:type="continuationSeparator" w:id="0">
    <w:p w:rsidR="008B4373" w:rsidRDefault="008B4373" w:rsidP="006226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73" w:rsidRDefault="008B4373" w:rsidP="006226AF">
      <w:pPr>
        <w:spacing w:before="0"/>
      </w:pPr>
      <w:r>
        <w:separator/>
      </w:r>
    </w:p>
  </w:footnote>
  <w:footnote w:type="continuationSeparator" w:id="0">
    <w:p w:rsidR="008B4373" w:rsidRDefault="008B4373" w:rsidP="006226AF">
      <w:pPr>
        <w:spacing w:before="0"/>
      </w:pPr>
      <w:r>
        <w:continuationSeparator/>
      </w:r>
    </w:p>
  </w:footnote>
  <w:footnote w:id="1">
    <w:p w:rsidR="006226AF" w:rsidRDefault="006226AF" w:rsidP="006226AF">
      <w:pPr>
        <w:pStyle w:val="FootnoteText"/>
        <w:rPr>
          <w:lang w:val="it-IT"/>
        </w:rPr>
      </w:pPr>
      <w:r>
        <w:rPr>
          <w:rStyle w:val="FootnoteReference"/>
        </w:rPr>
        <w:footnoteRef/>
      </w:r>
      <w:r>
        <w:rPr>
          <w:lang w:val="it-IT"/>
        </w:rPr>
        <w:t xml:space="preserve"> </w:t>
      </w:r>
      <w:r>
        <w:rPr>
          <w:lang w:val="it-IT"/>
        </w:rPr>
        <w:tab/>
      </w:r>
      <w:r w:rsidRPr="001A7D1C">
        <w:rPr>
          <w:rFonts w:ascii="Times New Roman" w:hAnsi="Times New Roman"/>
          <w:lang w:val="it-IT"/>
        </w:rPr>
        <w:t>Cancellare come opportuno.</w:t>
      </w:r>
    </w:p>
  </w:footnote>
  <w:footnote w:id="2">
    <w:p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a) In caso di sottoscrizione di Capacità secondo Procedura di Sottoscrizione Infrannuale di cui all’articolo 2.4.2. (b) </w:t>
      </w:r>
      <w:r w:rsidRPr="00377523">
        <w:rPr>
          <w:rFonts w:ascii="ArialMT" w:eastAsia="Calibri" w:hAnsi="ArialMT" w:cs="ArialMT"/>
          <w:sz w:val="16"/>
          <w:szCs w:val="16"/>
          <w:lang w:val="en-US"/>
        </w:rPr>
        <w:t>α</w:t>
      </w:r>
      <w:r w:rsidR="00B16A45" w:rsidRPr="00762A87">
        <w:rPr>
          <w:rFonts w:ascii="ArialMT" w:eastAsia="Calibri" w:hAnsi="ArialMT" w:cs="ArialMT"/>
          <w:sz w:val="16"/>
          <w:szCs w:val="16"/>
        </w:rPr>
        <w:t xml:space="preserve"> </w:t>
      </w:r>
      <w:r w:rsidR="00B16A45" w:rsidRPr="00B16A45">
        <w:rPr>
          <w:rFonts w:ascii="ArialMT" w:eastAsia="Calibri" w:hAnsi="ArialMT" w:cs="ArialMT"/>
          <w:sz w:val="16"/>
          <w:szCs w:val="16"/>
        </w:rPr>
        <w:t>del Capitolo II</w:t>
      </w:r>
      <w:r w:rsidRPr="00377523">
        <w:rPr>
          <w:rFonts w:eastAsia="Calibri"/>
          <w:sz w:val="16"/>
          <w:szCs w:val="16"/>
        </w:rPr>
        <w:t>):</w:t>
      </w:r>
    </w:p>
    <w:p w:rsidR="006226AF" w:rsidRPr="00762A87" w:rsidRDefault="006226AF" w:rsidP="006226AF">
      <w:pPr>
        <w:autoSpaceDE w:val="0"/>
        <w:autoSpaceDN w:val="0"/>
        <w:adjustRightInd w:val="0"/>
        <w:spacing w:before="0"/>
        <w:ind w:left="0"/>
        <w:rPr>
          <w:rFonts w:eastAsia="Calibri"/>
          <w:sz w:val="18"/>
          <w:szCs w:val="18"/>
        </w:rPr>
      </w:pPr>
      <w:r w:rsidRPr="00762A87">
        <w:rPr>
          <w:rFonts w:eastAsia="Calibri"/>
          <w:sz w:val="18"/>
          <w:szCs w:val="18"/>
        </w:rPr>
        <w:t>I = (</w:t>
      </w:r>
      <w:r w:rsidRPr="00762A87">
        <w:rPr>
          <w:rFonts w:eastAsia="Calibri"/>
          <w:sz w:val="18"/>
          <w:szCs w:val="18"/>
          <w:u w:val="single"/>
        </w:rPr>
        <w:t>P+</w:t>
      </w:r>
      <w:r w:rsidRPr="00762A87">
        <w:rPr>
          <w:sz w:val="16"/>
          <w:szCs w:val="16"/>
          <w:u w:val="single"/>
        </w:rPr>
        <w:t>CMr)</w:t>
      </w:r>
      <w:r w:rsidRPr="00762A87">
        <w:rPr>
          <w:rFonts w:eastAsia="Calibri"/>
          <w:sz w:val="18"/>
          <w:szCs w:val="18"/>
          <w:u w:val="single"/>
        </w:rPr>
        <w:t xml:space="preserve"> x SC + (GCC ) + (VTC)</w:t>
      </w:r>
    </w:p>
    <w:p w:rsidR="006226AF" w:rsidRPr="00377523" w:rsidRDefault="006226AF" w:rsidP="006226AF">
      <w:pPr>
        <w:autoSpaceDE w:val="0"/>
        <w:autoSpaceDN w:val="0"/>
        <w:adjustRightInd w:val="0"/>
        <w:spacing w:before="0"/>
        <w:rPr>
          <w:rFonts w:eastAsia="Calibri"/>
          <w:sz w:val="18"/>
          <w:szCs w:val="18"/>
        </w:rPr>
      </w:pPr>
      <w:r w:rsidRPr="00762A87">
        <w:rPr>
          <w:rFonts w:eastAsia="Calibri"/>
          <w:sz w:val="18"/>
          <w:szCs w:val="18"/>
        </w:rPr>
        <w:t xml:space="preserve">           </w:t>
      </w:r>
      <w:r w:rsidRPr="00377523">
        <w:rPr>
          <w:rFonts w:eastAsia="Calibri"/>
          <w:sz w:val="18"/>
          <w:szCs w:val="18"/>
        </w:rPr>
        <w:t>n</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Dove:</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P = prezzo di allocazione </w:t>
      </w:r>
      <w:r w:rsidRPr="00377523">
        <w:rPr>
          <w:rFonts w:eastAsia="Calibri"/>
          <w:i/>
          <w:sz w:val="16"/>
          <w:szCs w:val="16"/>
        </w:rPr>
        <w:t>pay as bid</w:t>
      </w:r>
      <w:r w:rsidRPr="00377523">
        <w:rPr>
          <w:rFonts w:eastAsia="Calibri"/>
          <w:sz w:val="16"/>
          <w:szCs w:val="16"/>
        </w:rPr>
        <w:t xml:space="preserve"> espresso in EUR/m3liq;</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n = 1 Nel caso di una Garanzia rilasciata ai sensi di un Contratto per la Capacità Spot; o nel caso di una Garanzia rilasciata ai sensi di un Contratto per la Capacità Esentata avente ad oggetto uno slot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n = 2 Nel caso di una Garanzia rilasciata ai sensi di un Contratto per la Capacità Spot avente ad oggetto due slots di Discarica; o nel </w:t>
      </w:r>
      <w:proofErr w:type="spellStart"/>
      <w:r w:rsidRPr="00377523">
        <w:rPr>
          <w:rFonts w:eastAsia="Calibri"/>
          <w:sz w:val="16"/>
          <w:szCs w:val="16"/>
        </w:rPr>
        <w:t>Nel</w:t>
      </w:r>
      <w:proofErr w:type="spellEnd"/>
      <w:r w:rsidRPr="00377523">
        <w:rPr>
          <w:rFonts w:eastAsia="Calibri"/>
          <w:sz w:val="16"/>
          <w:szCs w:val="16"/>
        </w:rPr>
        <w:t xml:space="preserve"> caso di una Garanzia rilasciata ai sensi di un Contratto per la Capacità Esentata avente ad oggetto due slots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n= 3 Nel caso di una Garanzia rilasciata ai sensi di un Contratto per la Capacità Spot avente ad oggetto tre o più slots di Discarica; o nel </w:t>
      </w:r>
      <w:proofErr w:type="spellStart"/>
      <w:r w:rsidRPr="00377523">
        <w:rPr>
          <w:rFonts w:eastAsia="Calibri"/>
          <w:sz w:val="16"/>
          <w:szCs w:val="16"/>
        </w:rPr>
        <w:t>Nel</w:t>
      </w:r>
      <w:proofErr w:type="spellEnd"/>
      <w:r w:rsidRPr="00377523">
        <w:rPr>
          <w:rFonts w:eastAsia="Calibri"/>
          <w:sz w:val="16"/>
          <w:szCs w:val="16"/>
        </w:rPr>
        <w:t xml:space="preserve"> caso di una Garanzia rilasciata ai sensi di un Contratto per la Capacità Esentata avente ad oggetto tre o più slots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I = l’Importo</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SC = l’ammontare di Capacità Sottoscritta ai sensi del relativo Contratto per la Capacità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r w:rsidRPr="00377523">
        <w:rPr>
          <w:rFonts w:eastAsia="Calibri"/>
          <w:sz w:val="16"/>
          <w:szCs w:val="16"/>
          <w:lang w:eastAsia="en-US"/>
        </w:rPr>
        <w:t>GCC = la quota proporzionale del Corrispettivo di Rete aggregato relativa all’Utente in questione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r w:rsidRPr="00377523">
        <w:rPr>
          <w:rFonts w:eastAsia="Calibri"/>
          <w:sz w:val="16"/>
          <w:szCs w:val="16"/>
          <w:lang w:eastAsia="en-US"/>
        </w:rPr>
        <w:t>VTC = la quota proporzionale del Corrispettivo Variabile di Trasporto aggregato relativa all’Utente in questione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eastAsia="it-IT"/>
        </w:rPr>
        <w:t xml:space="preserve">b) In caso di sottoscrizione di Capacità ai sensi della Procedura Annuale di Sottoscrizione di cui all’articolo 2.4.2. (a) del Capitolo II o di sottoscrizione di Capacità ai sensi della Procedura di Sottoscrizione della Capacità Spot di cui all’articolo 2.4.2. (b) </w:t>
      </w:r>
      <w:proofErr w:type="gramStart"/>
      <w:r w:rsidRPr="00377523">
        <w:rPr>
          <w:rFonts w:ascii="Times New Roman" w:hAnsi="Times New Roman" w:hint="eastAsia"/>
          <w:sz w:val="16"/>
          <w:szCs w:val="16"/>
          <w:lang w:val="it-IT" w:eastAsia="it-IT"/>
        </w:rPr>
        <w:t>β</w:t>
      </w:r>
      <w:r w:rsidRPr="00377523">
        <w:rPr>
          <w:rFonts w:ascii="Times New Roman" w:hAnsi="Times New Roman"/>
          <w:sz w:val="16"/>
          <w:szCs w:val="16"/>
          <w:lang w:val="it-IT" w:eastAsia="it-IT"/>
        </w:rPr>
        <w:t xml:space="preserve"> )</w:t>
      </w:r>
      <w:proofErr w:type="gramEnd"/>
      <w:r w:rsidRPr="00377523">
        <w:rPr>
          <w:rFonts w:ascii="Times New Roman" w:hAnsi="Times New Roman"/>
          <w:sz w:val="16"/>
          <w:szCs w:val="16"/>
          <w:lang w:val="it-IT" w:eastAsia="it-IT"/>
        </w:rPr>
        <w:t xml:space="preserve"> del Capitolo II ovvero secondo</w:t>
      </w:r>
      <w:r w:rsidRPr="00377523">
        <w:rPr>
          <w:rFonts w:ascii="Times New Roman" w:hAnsi="Times New Roman"/>
          <w:sz w:val="16"/>
          <w:szCs w:val="16"/>
          <w:lang w:val="it-IT"/>
        </w:rPr>
        <w:t xml:space="preserve"> il criterio </w:t>
      </w:r>
      <w:r w:rsidRPr="00377523">
        <w:rPr>
          <w:rFonts w:ascii="Times New Roman" w:hAnsi="Times New Roman"/>
          <w:i/>
          <w:iCs/>
          <w:sz w:val="16"/>
          <w:szCs w:val="16"/>
          <w:lang w:val="it-IT"/>
        </w:rPr>
        <w:t xml:space="preserve">first come first </w:t>
      </w:r>
      <w:proofErr w:type="spellStart"/>
      <w:r w:rsidRPr="00377523">
        <w:rPr>
          <w:rFonts w:ascii="Times New Roman" w:hAnsi="Times New Roman"/>
          <w:i/>
          <w:iCs/>
          <w:sz w:val="16"/>
          <w:szCs w:val="16"/>
          <w:lang w:val="it-IT"/>
        </w:rPr>
        <w:t>served</w:t>
      </w:r>
      <w:proofErr w:type="spellEnd"/>
      <w:r w:rsidRPr="00377523">
        <w:rPr>
          <w:rFonts w:ascii="Times New Roman" w:hAnsi="Times New Roman"/>
          <w:i/>
          <w:iCs/>
          <w:sz w:val="16"/>
          <w:szCs w:val="16"/>
          <w:lang w:val="it-IT"/>
        </w:rPr>
        <w:t xml:space="preserve"> </w:t>
      </w:r>
      <w:r w:rsidRPr="00377523">
        <w:rPr>
          <w:rFonts w:ascii="Times New Roman" w:hAnsi="Times New Roman"/>
          <w:sz w:val="16"/>
          <w:szCs w:val="16"/>
          <w:lang w:val="it-IT"/>
        </w:rPr>
        <w:t>:</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I = </w:t>
      </w:r>
      <w:r w:rsidRPr="00377523">
        <w:rPr>
          <w:rFonts w:ascii="Times New Roman" w:hAnsi="Times New Roman"/>
          <w:sz w:val="16"/>
          <w:szCs w:val="16"/>
          <w:u w:val="single"/>
          <w:lang w:val="it-IT"/>
        </w:rPr>
        <w:t>(</w:t>
      </w:r>
      <w:proofErr w:type="spellStart"/>
      <w:r w:rsidRPr="00377523">
        <w:rPr>
          <w:rFonts w:ascii="Times New Roman" w:hAnsi="Times New Roman"/>
          <w:sz w:val="16"/>
          <w:szCs w:val="16"/>
          <w:u w:val="single"/>
          <w:lang w:val="it-IT"/>
        </w:rPr>
        <w:t>Cqs+CMr</w:t>
      </w:r>
      <w:proofErr w:type="spellEnd"/>
      <w:r w:rsidRPr="00377523">
        <w:rPr>
          <w:rFonts w:ascii="Times New Roman" w:hAnsi="Times New Roman"/>
          <w:sz w:val="16"/>
          <w:szCs w:val="16"/>
          <w:u w:val="single"/>
          <w:lang w:val="it-IT"/>
        </w:rPr>
        <w:t>) x SC + (</w:t>
      </w:r>
      <w:proofErr w:type="gramStart"/>
      <w:r w:rsidRPr="00377523">
        <w:rPr>
          <w:rFonts w:ascii="Times New Roman" w:hAnsi="Times New Roman"/>
          <w:sz w:val="16"/>
          <w:szCs w:val="16"/>
          <w:u w:val="single"/>
          <w:lang w:val="it-IT"/>
        </w:rPr>
        <w:t>GCC )</w:t>
      </w:r>
      <w:proofErr w:type="gramEnd"/>
      <w:r w:rsidRPr="00377523">
        <w:rPr>
          <w:rFonts w:ascii="Times New Roman" w:hAnsi="Times New Roman"/>
          <w:sz w:val="16"/>
          <w:szCs w:val="16"/>
          <w:u w:val="single"/>
          <w:lang w:val="it-IT"/>
        </w:rPr>
        <w:t xml:space="preserve"> + (VTC)</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                            n</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Dove: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n = 1 </w:t>
      </w:r>
      <w:r w:rsidRPr="00377523">
        <w:rPr>
          <w:rFonts w:ascii="Times New Roman" w:hAnsi="Times New Roman"/>
          <w:sz w:val="16"/>
          <w:szCs w:val="16"/>
          <w:lang w:val="it-IT"/>
        </w:rPr>
        <w:tab/>
        <w:t>Nel caso di una Garanzia rilasciata ai sensi di un Contratto per la Capacità Spot; o nel caso di una Garanzia rilasciata ai sensi di un Contratto per la Capacità Esentata avente ad oggetto uno slot di Discarica</w:t>
      </w:r>
      <w:r w:rsidRPr="001A7D1C">
        <w:rPr>
          <w:rFonts w:ascii="Times New Roman" w:hAnsi="Times New Roman"/>
          <w:sz w:val="16"/>
          <w:szCs w:val="16"/>
          <w:lang w:val="it-IT"/>
        </w:rPr>
        <w:t xml:space="preserve"> </w:t>
      </w:r>
    </w:p>
    <w:p w:rsidR="006226AF" w:rsidRPr="00C84750"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 xml:space="preserve">n = 2 </w:t>
      </w:r>
      <w:r w:rsidRPr="001A7D1C">
        <w:rPr>
          <w:rFonts w:ascii="Times New Roman" w:hAnsi="Times New Roman"/>
          <w:sz w:val="16"/>
          <w:szCs w:val="16"/>
          <w:lang w:val="it-IT"/>
        </w:rPr>
        <w:tab/>
      </w:r>
      <w:r w:rsidRPr="00C84750">
        <w:rPr>
          <w:rFonts w:ascii="Times New Roman" w:hAnsi="Times New Roman"/>
          <w:sz w:val="16"/>
          <w:szCs w:val="16"/>
          <w:lang w:val="it-IT"/>
        </w:rPr>
        <w:t xml:space="preserve">Nel caso di una Garanzia rilasciata ai sensi di un Contratto per la Capacità Spot avente ad oggetto due slots di Discarica; o nel caso di una Garanzia rilasciata ai sensi di un Contratto per la Capacità Esentata avente ad oggetto due slots di Discarica </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C84750">
        <w:rPr>
          <w:rFonts w:ascii="Times New Roman" w:hAnsi="Times New Roman"/>
          <w:sz w:val="16"/>
          <w:szCs w:val="16"/>
          <w:lang w:val="it-IT"/>
        </w:rPr>
        <w:t>n= 3</w:t>
      </w:r>
      <w:r w:rsidRPr="00C84750">
        <w:rPr>
          <w:rFonts w:ascii="Times New Roman" w:hAnsi="Times New Roman"/>
          <w:sz w:val="16"/>
          <w:szCs w:val="16"/>
          <w:lang w:val="it-IT"/>
        </w:rPr>
        <w:tab/>
        <w:t>Nel caso di una Garanzia rilasciata ai sensi di un Contratto per la Capacità Spot avente ad oggetto tre o più slots di Discarica; o nel</w:t>
      </w:r>
      <w:r w:rsidRPr="001A7D1C">
        <w:rPr>
          <w:rFonts w:ascii="Times New Roman" w:hAnsi="Times New Roman"/>
          <w:sz w:val="16"/>
          <w:szCs w:val="16"/>
          <w:lang w:val="it-IT"/>
        </w:rPr>
        <w:t xml:space="preserve"> caso di una Garanzia rilasciata ai sensi di un Contratto per la Capacità Esentata avente ad oggetto tre o più slots di Discarica </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I</w:t>
      </w:r>
      <w:r w:rsidRPr="001A7D1C">
        <w:rPr>
          <w:rFonts w:ascii="Times New Roman" w:hAnsi="Times New Roman"/>
          <w:sz w:val="16"/>
          <w:szCs w:val="16"/>
          <w:lang w:val="it-IT"/>
        </w:rPr>
        <w:tab/>
        <w:t>=</w:t>
      </w:r>
      <w:r w:rsidRPr="001A7D1C">
        <w:rPr>
          <w:rFonts w:ascii="Times New Roman" w:hAnsi="Times New Roman"/>
          <w:sz w:val="16"/>
          <w:szCs w:val="16"/>
          <w:lang w:val="it-IT"/>
        </w:rPr>
        <w:tab/>
        <w:t>l’Importo</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Cqs</w:t>
      </w:r>
      <w:r w:rsidRPr="001A7D1C">
        <w:rPr>
          <w:rFonts w:ascii="Times New Roman" w:hAnsi="Times New Roman"/>
          <w:sz w:val="16"/>
          <w:szCs w:val="16"/>
          <w:lang w:val="it-IT"/>
        </w:rPr>
        <w:tab/>
        <w:t>=</w:t>
      </w:r>
      <w:r w:rsidRPr="001A7D1C">
        <w:rPr>
          <w:rFonts w:ascii="Times New Roman" w:hAnsi="Times New Roman"/>
          <w:sz w:val="16"/>
          <w:szCs w:val="16"/>
          <w:lang w:val="it-IT"/>
        </w:rPr>
        <w:tab/>
        <w:t>il Cqs applicabile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CMr</w:t>
      </w:r>
      <w:r w:rsidRPr="001A7D1C">
        <w:rPr>
          <w:rFonts w:ascii="Times New Roman" w:hAnsi="Times New Roman"/>
          <w:sz w:val="16"/>
          <w:szCs w:val="16"/>
          <w:lang w:val="it-IT"/>
        </w:rPr>
        <w:tab/>
        <w:t>=</w:t>
      </w:r>
      <w:r w:rsidRPr="001A7D1C">
        <w:rPr>
          <w:rFonts w:ascii="Times New Roman" w:hAnsi="Times New Roman"/>
          <w:sz w:val="16"/>
          <w:szCs w:val="16"/>
          <w:lang w:val="it-IT"/>
        </w:rPr>
        <w:tab/>
        <w:t xml:space="preserve">il </w:t>
      </w:r>
      <w:proofErr w:type="gramStart"/>
      <w:r w:rsidRPr="001A7D1C">
        <w:rPr>
          <w:rFonts w:ascii="Times New Roman" w:hAnsi="Times New Roman"/>
          <w:sz w:val="16"/>
          <w:szCs w:val="16"/>
          <w:lang w:val="it-IT"/>
        </w:rPr>
        <w:t>CMr  applicabile</w:t>
      </w:r>
      <w:proofErr w:type="gramEnd"/>
      <w:r w:rsidRPr="001A7D1C">
        <w:rPr>
          <w:rFonts w:ascii="Times New Roman" w:hAnsi="Times New Roman"/>
          <w:sz w:val="16"/>
          <w:szCs w:val="16"/>
          <w:lang w:val="it-IT"/>
        </w:rPr>
        <w:t xml:space="preserve">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SC</w:t>
      </w:r>
      <w:r w:rsidRPr="001A7D1C">
        <w:rPr>
          <w:rFonts w:ascii="Times New Roman" w:hAnsi="Times New Roman"/>
          <w:sz w:val="16"/>
          <w:szCs w:val="16"/>
          <w:lang w:val="it-IT"/>
        </w:rPr>
        <w:tab/>
        <w:t>=</w:t>
      </w:r>
      <w:r w:rsidRPr="001A7D1C">
        <w:rPr>
          <w:rFonts w:ascii="Times New Roman" w:hAnsi="Times New Roman"/>
          <w:sz w:val="16"/>
          <w:szCs w:val="16"/>
          <w:lang w:val="it-IT"/>
        </w:rPr>
        <w:tab/>
        <w:t>l’ammontare di Capacità Sottoscritta ai sensi del relativo Contratto per la Capacità con riferimento all’Anno Termico o periodo rilevante;</w:t>
      </w:r>
    </w:p>
    <w:p w:rsidR="006226AF" w:rsidRPr="001A7D1C" w:rsidRDefault="00001FFD" w:rsidP="00001FFD">
      <w:pPr>
        <w:pStyle w:val="AODocTxt"/>
        <w:numPr>
          <w:ilvl w:val="0"/>
          <w:numId w:val="0"/>
        </w:numPr>
        <w:spacing w:before="0" w:after="0" w:line="240" w:lineRule="auto"/>
        <w:ind w:left="1440" w:hanging="1440"/>
        <w:rPr>
          <w:rFonts w:ascii="Times New Roman" w:hAnsi="Times New Roman"/>
          <w:sz w:val="16"/>
          <w:szCs w:val="16"/>
          <w:lang w:val="it-IT"/>
        </w:rPr>
      </w:pPr>
      <w:r>
        <w:rPr>
          <w:rFonts w:ascii="Times New Roman" w:hAnsi="Times New Roman"/>
          <w:sz w:val="16"/>
          <w:szCs w:val="16"/>
          <w:lang w:val="it-IT"/>
        </w:rPr>
        <w:t xml:space="preserve">GCC          </w:t>
      </w:r>
      <w:r w:rsidR="006226AF" w:rsidRPr="001A7D1C">
        <w:rPr>
          <w:rFonts w:ascii="Times New Roman" w:hAnsi="Times New Roman"/>
          <w:sz w:val="16"/>
          <w:szCs w:val="16"/>
          <w:lang w:val="it-IT"/>
        </w:rPr>
        <w:t>=</w:t>
      </w:r>
      <w:r w:rsidR="006226AF" w:rsidRPr="001A7D1C">
        <w:rPr>
          <w:rFonts w:ascii="Times New Roman" w:hAnsi="Times New Roman"/>
          <w:sz w:val="16"/>
          <w:szCs w:val="16"/>
          <w:lang w:val="it-IT"/>
        </w:rPr>
        <w:tab/>
        <w:t xml:space="preserve">la </w:t>
      </w:r>
      <w:proofErr w:type="gramStart"/>
      <w:r w:rsidR="006226AF" w:rsidRPr="001A7D1C">
        <w:rPr>
          <w:rFonts w:ascii="Times New Roman" w:hAnsi="Times New Roman"/>
          <w:sz w:val="16"/>
          <w:szCs w:val="16"/>
          <w:lang w:val="it-IT"/>
        </w:rPr>
        <w:t>quota  proporzionale</w:t>
      </w:r>
      <w:proofErr w:type="gramEnd"/>
      <w:r w:rsidR="006226AF" w:rsidRPr="001A7D1C">
        <w:rPr>
          <w:rFonts w:ascii="Times New Roman" w:hAnsi="Times New Roman"/>
          <w:sz w:val="16"/>
          <w:szCs w:val="16"/>
          <w:lang w:val="it-IT"/>
        </w:rPr>
        <w:t xml:space="preserve"> del Corrispettivo di Rete aggregato relativa all’Utente in questione con riferimento </w:t>
      </w:r>
      <w:r>
        <w:rPr>
          <w:rFonts w:ascii="Times New Roman" w:hAnsi="Times New Roman"/>
          <w:sz w:val="16"/>
          <w:szCs w:val="16"/>
          <w:lang w:val="it-IT"/>
        </w:rPr>
        <w:t xml:space="preserve">all’Anno Termico </w:t>
      </w:r>
      <w:r w:rsidR="006226AF" w:rsidRPr="001A7D1C">
        <w:rPr>
          <w:rFonts w:ascii="Times New Roman" w:hAnsi="Times New Roman"/>
          <w:sz w:val="16"/>
          <w:szCs w:val="16"/>
          <w:lang w:val="it-IT"/>
        </w:rPr>
        <w:t>o periodo rilevante;</w:t>
      </w:r>
    </w:p>
    <w:p w:rsidR="006226AF" w:rsidRPr="001A7D1C" w:rsidRDefault="00001FFD" w:rsidP="006226AF">
      <w:pPr>
        <w:pStyle w:val="AODocTxt"/>
        <w:numPr>
          <w:ilvl w:val="0"/>
          <w:numId w:val="0"/>
        </w:numPr>
        <w:spacing w:before="0" w:after="0" w:line="240" w:lineRule="auto"/>
        <w:rPr>
          <w:rFonts w:ascii="Times New Roman" w:hAnsi="Times New Roman"/>
          <w:sz w:val="16"/>
          <w:szCs w:val="16"/>
          <w:lang w:val="it-IT"/>
        </w:rPr>
      </w:pPr>
      <w:r>
        <w:rPr>
          <w:rFonts w:ascii="Times New Roman" w:hAnsi="Times New Roman"/>
          <w:sz w:val="16"/>
          <w:szCs w:val="16"/>
          <w:lang w:val="it-IT"/>
        </w:rPr>
        <w:t>VTC</w:t>
      </w:r>
      <w:r>
        <w:rPr>
          <w:rFonts w:ascii="Times New Roman" w:hAnsi="Times New Roman"/>
          <w:sz w:val="16"/>
          <w:szCs w:val="16"/>
          <w:lang w:val="it-IT"/>
        </w:rPr>
        <w:tab/>
      </w:r>
      <w:r w:rsidR="006226AF" w:rsidRPr="001A7D1C">
        <w:rPr>
          <w:rFonts w:ascii="Times New Roman" w:hAnsi="Times New Roman"/>
          <w:sz w:val="16"/>
          <w:szCs w:val="16"/>
          <w:lang w:val="it-IT"/>
        </w:rPr>
        <w:t>=</w:t>
      </w:r>
      <w:r w:rsidR="006226AF" w:rsidRPr="001A7D1C">
        <w:rPr>
          <w:rFonts w:ascii="Times New Roman" w:hAnsi="Times New Roman"/>
          <w:sz w:val="16"/>
          <w:szCs w:val="16"/>
          <w:lang w:val="it-IT"/>
        </w:rPr>
        <w:tab/>
        <w:t>la quota  proporzionale del Corrispettivo Variabile di Trasporto aggregato relativa all’Utente in questione con riferimento all’Anno Termico o periodo rilevante;</w:t>
      </w:r>
    </w:p>
    <w:p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rsidR="006226AF" w:rsidRDefault="006226AF" w:rsidP="006226AF">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F"/>
    <w:rsid w:val="00001FFD"/>
    <w:rsid w:val="00077339"/>
    <w:rsid w:val="00210620"/>
    <w:rsid w:val="00324AF9"/>
    <w:rsid w:val="004178EB"/>
    <w:rsid w:val="005C5479"/>
    <w:rsid w:val="006226AF"/>
    <w:rsid w:val="00634F7E"/>
    <w:rsid w:val="00762A87"/>
    <w:rsid w:val="008B4373"/>
    <w:rsid w:val="00B04266"/>
    <w:rsid w:val="00B16A45"/>
    <w:rsid w:val="00F7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396F"/>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
    <w:rsid w:val="006226AF"/>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6226AF"/>
    <w:rPr>
      <w:vertAlign w:val="superscript"/>
    </w:rPr>
  </w:style>
  <w:style w:type="paragraph" w:styleId="FootnoteText">
    <w:name w:val="footnote text"/>
    <w:basedOn w:val="AONormal"/>
    <w:link w:val="FootnoteTextChar"/>
    <w:semiHidden/>
    <w:rsid w:val="006226AF"/>
    <w:pPr>
      <w:spacing w:line="240" w:lineRule="auto"/>
      <w:ind w:left="720" w:hanging="720"/>
    </w:pPr>
    <w:rPr>
      <w:sz w:val="16"/>
    </w:rPr>
  </w:style>
  <w:style w:type="character" w:customStyle="1" w:styleId="FootnoteTextChar">
    <w:name w:val="Footnote Text Char"/>
    <w:basedOn w:val="DefaultParagraphFont"/>
    <w:link w:val="FootnoteText"/>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6226AF"/>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Roncon Lisa</cp:lastModifiedBy>
  <cp:revision>4</cp:revision>
  <dcterms:created xsi:type="dcterms:W3CDTF">2021-03-23T14:47:00Z</dcterms:created>
  <dcterms:modified xsi:type="dcterms:W3CDTF">2021-03-29T09:33:00Z</dcterms:modified>
</cp:coreProperties>
</file>